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34" w:type="dxa"/>
        <w:tblLook w:val="01E0" w:firstRow="1" w:lastRow="1" w:firstColumn="1" w:lastColumn="1" w:noHBand="0" w:noVBand="0"/>
      </w:tblPr>
      <w:tblGrid>
        <w:gridCol w:w="3828"/>
        <w:gridCol w:w="5796"/>
      </w:tblGrid>
      <w:tr w:rsidR="00C145DB">
        <w:trPr>
          <w:trHeight w:val="753"/>
        </w:trPr>
        <w:tc>
          <w:tcPr>
            <w:tcW w:w="3828" w:type="dxa"/>
          </w:tcPr>
          <w:p w:rsidR="00C145DB" w:rsidRDefault="009C2182">
            <w:pPr>
              <w:jc w:val="center"/>
              <w:rPr>
                <w:sz w:val="26"/>
                <w:szCs w:val="26"/>
                <w:lang w:val="nl-NL"/>
              </w:rPr>
            </w:pPr>
            <w:r>
              <w:rPr>
                <w:sz w:val="26"/>
                <w:szCs w:val="26"/>
                <w:lang w:val="nl-NL"/>
              </w:rPr>
              <w:t>UBND TỈNH TÂY NINH</w:t>
            </w:r>
          </w:p>
          <w:p w:rsidR="00C145DB" w:rsidRDefault="009C2182">
            <w:pPr>
              <w:jc w:val="center"/>
              <w:rPr>
                <w:lang w:val="nl-NL"/>
              </w:rPr>
            </w:pPr>
            <w:r>
              <w:rPr>
                <w:noProof/>
              </w:rPr>
              <mc:AlternateContent>
                <mc:Choice Requires="wpg">
                  <w:drawing>
                    <wp:anchor distT="0" distB="0" distL="114300" distR="114300" simplePos="0" relativeHeight="251660288" behindDoc="0" locked="0" layoutInCell="1" allowOverlap="1">
                      <wp:simplePos x="0" y="0"/>
                      <wp:positionH relativeFrom="column">
                        <wp:posOffset>749300</wp:posOffset>
                      </wp:positionH>
                      <wp:positionV relativeFrom="paragraph">
                        <wp:posOffset>211455</wp:posOffset>
                      </wp:positionV>
                      <wp:extent cx="742950" cy="0"/>
                      <wp:effectExtent l="0" t="0" r="19050" b="19050"/>
                      <wp:wrapNone/>
                      <wp:docPr id="1" name="Straight Connector 7"/>
                      <wp:cNvGraphicFramePr/>
                      <a:graphic xmlns:a="http://schemas.openxmlformats.org/drawingml/2006/main">
                        <a:graphicData uri="http://schemas.microsoft.com/office/word/2010/wordprocessingShape">
                          <wps:wsp>
                            <wps:cNvCnPr/>
                            <wps:spPr bwMode="auto">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0" o:spid="_x0000_s0" style="position:absolute;left:0;text-align:left;z-index:251660288;mso-wrap-distance-left:9.00pt;mso-wrap-distance-top:0.00pt;mso-wrap-distance-right:9.00pt;mso-wrap-distance-bottom:0.00pt;visibility:visible;" from="59.0pt,16.6pt" to="117.5pt,16.6pt" filled="f" strokecolor="#000000" strokeweight="0.75pt">
                      <v:stroke dashstyle="solid"/>
                    </v:line>
                  </w:pict>
                </mc:Fallback>
              </mc:AlternateContent>
            </w:r>
            <w:r>
              <w:rPr>
                <w:b/>
                <w:sz w:val="28"/>
                <w:szCs w:val="28"/>
                <w:lang w:val="nl-NL"/>
              </w:rPr>
              <w:t>SỞ XÂY DỰNG</w:t>
            </w:r>
          </w:p>
        </w:tc>
        <w:tc>
          <w:tcPr>
            <w:tcW w:w="5796" w:type="dxa"/>
          </w:tcPr>
          <w:p w:rsidR="00C145DB" w:rsidRDefault="009C2182">
            <w:pPr>
              <w:jc w:val="center"/>
              <w:rPr>
                <w:sz w:val="28"/>
                <w:szCs w:val="28"/>
                <w:lang w:val="nl-NL"/>
              </w:rPr>
            </w:pPr>
            <w:r>
              <w:rPr>
                <w:b/>
                <w:noProof/>
                <w:sz w:val="26"/>
                <w:szCs w:val="26"/>
              </w:rPr>
              <mc:AlternateContent>
                <mc:Choice Requires="wpg">
                  <w:drawing>
                    <wp:anchor distT="0" distB="0" distL="114300" distR="114300" simplePos="0" relativeHeight="251659264" behindDoc="0" locked="0" layoutInCell="1" allowOverlap="1">
                      <wp:simplePos x="0" y="0"/>
                      <wp:positionH relativeFrom="column">
                        <wp:posOffset>737870</wp:posOffset>
                      </wp:positionH>
                      <wp:positionV relativeFrom="paragraph">
                        <wp:posOffset>403860</wp:posOffset>
                      </wp:positionV>
                      <wp:extent cx="2076450" cy="0"/>
                      <wp:effectExtent l="0" t="0" r="19050" b="19050"/>
                      <wp:wrapNone/>
                      <wp:docPr id="2" name="Straight Connector 4"/>
                      <wp:cNvGraphicFramePr/>
                      <a:graphic xmlns:a="http://schemas.openxmlformats.org/drawingml/2006/main">
                        <a:graphicData uri="http://schemas.microsoft.com/office/word/2010/wordprocessingShape">
                          <wps:wsp>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1" o:spid="_x0000_s1" style="position:absolute;left:0;text-align:left;z-index:251659264;mso-wrap-distance-left:9.00pt;mso-wrap-distance-top:0.00pt;mso-wrap-distance-right:9.00pt;mso-wrap-distance-bottom:0.00pt;visibility:visible;" from="58.1pt,31.8pt" to="221.6pt,31.8pt" filled="f" strokecolor="#000000" strokeweight="0.75pt"/>
                  </w:pict>
                </mc:Fallback>
              </mc:AlternateContent>
            </w:r>
            <w:r>
              <w:rPr>
                <w:b/>
                <w:sz w:val="26"/>
                <w:szCs w:val="26"/>
                <w:lang w:val="nl-NL"/>
              </w:rPr>
              <w:t>CỘNG HÒA XÃ HỘI CHỦ NGHĨA VIỆT NAM</w:t>
            </w:r>
            <w:r>
              <w:rPr>
                <w:b/>
                <w:sz w:val="28"/>
                <w:szCs w:val="28"/>
                <w:lang w:val="nl-NL"/>
              </w:rPr>
              <w:t xml:space="preserve">                              Độc lập - Tự do - Hạnh phúc</w:t>
            </w:r>
          </w:p>
        </w:tc>
      </w:tr>
      <w:tr w:rsidR="00C145DB">
        <w:trPr>
          <w:trHeight w:val="153"/>
        </w:trPr>
        <w:tc>
          <w:tcPr>
            <w:tcW w:w="3828" w:type="dxa"/>
          </w:tcPr>
          <w:p w:rsidR="00C145DB" w:rsidRPr="006A3B76" w:rsidRDefault="009C2182">
            <w:pPr>
              <w:tabs>
                <w:tab w:val="left" w:pos="3261"/>
              </w:tabs>
              <w:jc w:val="center"/>
              <w:rPr>
                <w:sz w:val="26"/>
                <w:szCs w:val="26"/>
                <w:lang w:val="nl-NL"/>
              </w:rPr>
            </w:pPr>
            <w:r w:rsidRPr="006A3B76">
              <w:rPr>
                <w:sz w:val="26"/>
                <w:szCs w:val="26"/>
                <w:lang w:val="nl-NL"/>
              </w:rPr>
              <w:t>Số:          /TTr-SXD</w:t>
            </w:r>
          </w:p>
        </w:tc>
        <w:tc>
          <w:tcPr>
            <w:tcW w:w="5796" w:type="dxa"/>
          </w:tcPr>
          <w:p w:rsidR="00C145DB" w:rsidRPr="006A3B76" w:rsidRDefault="009C2182">
            <w:pPr>
              <w:jc w:val="center"/>
              <w:rPr>
                <w:i/>
                <w:sz w:val="26"/>
                <w:szCs w:val="26"/>
                <w:lang w:val="nl-NL"/>
              </w:rPr>
            </w:pPr>
            <w:r w:rsidRPr="006A3B76">
              <w:rPr>
                <w:i/>
                <w:sz w:val="26"/>
                <w:szCs w:val="26"/>
                <w:lang w:val="nl-NL"/>
              </w:rPr>
              <w:t xml:space="preserve">Tây Ninh, ngày        tháng     năm </w:t>
            </w:r>
            <w:r w:rsidR="00DD67DD" w:rsidRPr="006A3B76">
              <w:rPr>
                <w:i/>
                <w:sz w:val="26"/>
                <w:szCs w:val="26"/>
                <w:lang w:val="nl-NL"/>
              </w:rPr>
              <w:t>2026</w:t>
            </w:r>
          </w:p>
        </w:tc>
      </w:tr>
    </w:tbl>
    <w:p w:rsidR="00C145DB" w:rsidRDefault="008D3C2E" w:rsidP="008D3C2E">
      <w:pPr>
        <w:jc w:val="center"/>
        <w:rPr>
          <w:b/>
          <w:i/>
          <w:iCs/>
          <w:sz w:val="28"/>
          <w:szCs w:val="28"/>
          <w:lang w:val="nl-NL"/>
        </w:rPr>
      </w:pPr>
      <w:r w:rsidRPr="00D444A4">
        <w:rPr>
          <w:b/>
          <w:bCs/>
          <w:noProof/>
          <w:sz w:val="28"/>
          <w:szCs w:val="28"/>
        </w:rPr>
        <mc:AlternateContent>
          <mc:Choice Requires="wps">
            <w:drawing>
              <wp:anchor distT="0" distB="0" distL="114300" distR="114300" simplePos="0" relativeHeight="251663360" behindDoc="0" locked="0" layoutInCell="1" allowOverlap="1" wp14:anchorId="33F8F1B8" wp14:editId="705DE201">
                <wp:simplePos x="0" y="0"/>
                <wp:positionH relativeFrom="margin">
                  <wp:posOffset>462418</wp:posOffset>
                </wp:positionH>
                <wp:positionV relativeFrom="paragraph">
                  <wp:posOffset>123935</wp:posOffset>
                </wp:positionV>
                <wp:extent cx="1005343" cy="304800"/>
                <wp:effectExtent l="0" t="0" r="23495" b="19050"/>
                <wp:wrapNone/>
                <wp:docPr id="1995140495" name="Text Box 4"/>
                <wp:cNvGraphicFramePr/>
                <a:graphic xmlns:a="http://schemas.openxmlformats.org/drawingml/2006/main">
                  <a:graphicData uri="http://schemas.microsoft.com/office/word/2010/wordprocessingShape">
                    <wps:wsp>
                      <wps:cNvSpPr txBox="1"/>
                      <wps:spPr>
                        <a:xfrm>
                          <a:off x="0" y="0"/>
                          <a:ext cx="1005343" cy="304800"/>
                        </a:xfrm>
                        <a:prstGeom prst="rect">
                          <a:avLst/>
                        </a:prstGeom>
                        <a:solidFill>
                          <a:schemeClr val="lt1"/>
                        </a:solidFill>
                        <a:ln w="6350">
                          <a:solidFill>
                            <a:prstClr val="black"/>
                          </a:solidFill>
                        </a:ln>
                      </wps:spPr>
                      <wps:txbx>
                        <w:txbxContent>
                          <w:p w:rsidR="008D3C2E" w:rsidRPr="00AD7A70" w:rsidRDefault="008D3C2E" w:rsidP="008D3C2E">
                            <w:pPr>
                              <w:jc w:val="center"/>
                              <w:rPr>
                                <w:bCs/>
                                <w:sz w:val="28"/>
                                <w:szCs w:val="28"/>
                                <w:lang w:val="vi-VN"/>
                              </w:rPr>
                            </w:pPr>
                            <w:r w:rsidRPr="00AD7A70">
                              <w:rPr>
                                <w:bCs/>
                                <w:sz w:val="28"/>
                                <w:szCs w:val="28"/>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4pt;margin-top:9.75pt;width:79.1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" fillcolor="white [3201]" strokeweight=".5pt">
                <v:textbox>
                  <w:txbxContent>
                    <w:p w:rsidR="008D3C2E" w:rsidRPr="00AD7A70" w:rsidRDefault="008D3C2E" w:rsidP="008D3C2E">
                      <w:pPr>
                        <w:jc w:val="center"/>
                        <w:rPr>
                          <w:bCs/>
                          <w:sz w:val="28"/>
                          <w:szCs w:val="28"/>
                          <w:lang w:val="vi-VN"/>
                        </w:rPr>
                      </w:pPr>
                      <w:r w:rsidRPr="00AD7A70">
                        <w:rPr>
                          <w:bCs/>
                          <w:sz w:val="28"/>
                          <w:szCs w:val="28"/>
                          <w:lang w:val="vi-VN"/>
                        </w:rPr>
                        <w:t>DỰ THẢO</w:t>
                      </w:r>
                    </w:p>
                  </w:txbxContent>
                </v:textbox>
                <w10:wrap anchorx="margin"/>
              </v:shape>
            </w:pict>
          </mc:Fallback>
        </mc:AlternateContent>
      </w:r>
      <w:r w:rsidR="009C2182">
        <w:rPr>
          <w:b/>
          <w:sz w:val="28"/>
          <w:szCs w:val="28"/>
          <w:lang w:val="nl-NL"/>
        </w:rPr>
        <w:tab/>
      </w:r>
    </w:p>
    <w:p w:rsidR="00C145DB" w:rsidRDefault="009C2182">
      <w:pPr>
        <w:spacing w:before="360"/>
        <w:jc w:val="center"/>
        <w:rPr>
          <w:b/>
          <w:sz w:val="28"/>
          <w:szCs w:val="28"/>
          <w:lang w:val="nl-NL"/>
        </w:rPr>
      </w:pPr>
      <w:r>
        <w:rPr>
          <w:b/>
          <w:sz w:val="28"/>
          <w:szCs w:val="28"/>
          <w:lang w:val="nl-NL"/>
        </w:rPr>
        <w:t>TỜ TRÌNH</w:t>
      </w:r>
    </w:p>
    <w:p w:rsidR="00C145DB" w:rsidRDefault="009C2182" w:rsidP="00BB7B17">
      <w:pPr>
        <w:ind w:left="1276" w:right="284"/>
        <w:jc w:val="center"/>
        <w:rPr>
          <w:b/>
          <w:sz w:val="28"/>
          <w:szCs w:val="28"/>
        </w:rPr>
      </w:pPr>
      <w:r>
        <w:rPr>
          <w:b/>
          <w:sz w:val="28"/>
          <w:szCs w:val="28"/>
        </w:rPr>
        <w:t xml:space="preserve">Về việc ban hành Quyết định </w:t>
      </w:r>
      <w:r w:rsidR="001469DC">
        <w:rPr>
          <w:b/>
          <w:sz w:val="28"/>
          <w:lang w:val="vi-VN"/>
        </w:rPr>
        <w:t>Q</w:t>
      </w:r>
      <w:r w:rsidR="0086448B" w:rsidRPr="00D444A4">
        <w:rPr>
          <w:b/>
          <w:sz w:val="28"/>
          <w:lang w:val="vi-VN"/>
        </w:rPr>
        <w:t xml:space="preserve">uy định phân cấp quản lý chiếu sáng </w:t>
      </w:r>
      <w:r w:rsidR="0086448B">
        <w:rPr>
          <w:b/>
          <w:sz w:val="28"/>
          <w:lang w:val="vi-VN"/>
        </w:rPr>
        <w:t>đô thị</w:t>
      </w:r>
      <w:r w:rsidR="0086448B" w:rsidRPr="00D444A4">
        <w:rPr>
          <w:b/>
          <w:sz w:val="28"/>
          <w:lang w:val="vi-VN"/>
        </w:rPr>
        <w:t xml:space="preserve"> trên địa bàn tỉnh </w:t>
      </w:r>
      <w:r w:rsidR="0086448B">
        <w:rPr>
          <w:b/>
          <w:sz w:val="28"/>
          <w:lang w:val="vi-VN"/>
        </w:rPr>
        <w:t>Tây Ninh</w:t>
      </w:r>
    </w:p>
    <w:p w:rsidR="00C145DB" w:rsidRDefault="009C2182">
      <w:pPr>
        <w:jc w:val="center"/>
        <w:rPr>
          <w:sz w:val="28"/>
          <w:szCs w:val="28"/>
          <w:lang w:eastAsia="vi-VN"/>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margin">
                  <wp:posOffset>2068526</wp:posOffset>
                </wp:positionH>
                <wp:positionV relativeFrom="paragraph">
                  <wp:posOffset>55880</wp:posOffset>
                </wp:positionV>
                <wp:extent cx="1653872" cy="0"/>
                <wp:effectExtent l="0" t="0" r="22860" b="19050"/>
                <wp:wrapNone/>
                <wp:docPr id="3" name="Straight Connector 1"/>
                <wp:cNvGraphicFramePr/>
                <a:graphic xmlns:a="http://schemas.openxmlformats.org/drawingml/2006/main">
                  <a:graphicData uri="http://schemas.microsoft.com/office/word/2010/wordprocessingShape">
                    <wps:wsp>
                      <wps:cNvCnPr/>
                      <wps:spPr bwMode="auto">
                        <a:xfrm>
                          <a:off x="0" y="0"/>
                          <a:ext cx="1653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2.9pt,4.4pt" to="293.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" strokecolor="black [3040]">
                <w10:wrap anchorx="margin"/>
              </v:line>
            </w:pict>
          </mc:Fallback>
        </mc:AlternateContent>
      </w:r>
    </w:p>
    <w:p w:rsidR="00C145DB" w:rsidRDefault="00DD67DD">
      <w:pPr>
        <w:spacing w:before="120"/>
        <w:ind w:firstLine="720"/>
        <w:jc w:val="center"/>
        <w:rPr>
          <w:sz w:val="24"/>
          <w:szCs w:val="24"/>
          <w:lang w:eastAsia="vi-VN"/>
        </w:rPr>
      </w:pPr>
      <w:r>
        <w:rPr>
          <w:sz w:val="28"/>
          <w:szCs w:val="28"/>
          <w:lang w:val="vi-VN" w:eastAsia="vi-VN"/>
        </w:rPr>
        <w:t xml:space="preserve">                                 </w:t>
      </w:r>
      <w:r w:rsidR="009C2182">
        <w:rPr>
          <w:sz w:val="28"/>
          <w:szCs w:val="28"/>
          <w:lang w:val="vi-VN" w:eastAsia="vi-VN"/>
        </w:rPr>
        <w:t>Kính gửi: Ủy ban nhân dân tỉnh</w:t>
      </w:r>
    </w:p>
    <w:p w:rsidR="00C145DB" w:rsidRDefault="00C145DB" w:rsidP="00DD67DD">
      <w:pPr>
        <w:spacing w:after="80"/>
        <w:ind w:firstLine="720"/>
        <w:jc w:val="both"/>
        <w:rPr>
          <w:sz w:val="28"/>
          <w:szCs w:val="28"/>
          <w:lang w:val="nl-NL"/>
        </w:rPr>
      </w:pPr>
    </w:p>
    <w:p w:rsidR="00C145DB" w:rsidRPr="0086448B" w:rsidRDefault="0086448B" w:rsidP="00DD67DD">
      <w:pPr>
        <w:spacing w:after="80"/>
        <w:jc w:val="both"/>
        <w:rPr>
          <w:sz w:val="28"/>
          <w:szCs w:val="28"/>
          <w:lang w:val="nl-NL"/>
        </w:rPr>
      </w:pPr>
      <w:r>
        <w:rPr>
          <w:sz w:val="28"/>
          <w:szCs w:val="28"/>
          <w:lang w:val="nl-NL"/>
        </w:rPr>
        <w:tab/>
      </w:r>
      <w:r w:rsidR="009C2182" w:rsidRPr="0086448B">
        <w:rPr>
          <w:sz w:val="28"/>
          <w:szCs w:val="28"/>
          <w:lang w:val="nl-NL"/>
        </w:rPr>
        <w:t xml:space="preserve">Thực hiện quy định của Luật Ban hành văn bản Quy phạm pháp luật, Sở Xây dựng kính trình Ủy ban nhân dân tỉnh dự thảo </w:t>
      </w:r>
      <w:r w:rsidR="009C2182" w:rsidRPr="0086448B">
        <w:rPr>
          <w:sz w:val="28"/>
          <w:szCs w:val="28"/>
        </w:rPr>
        <w:t xml:space="preserve">Quyết định </w:t>
      </w:r>
      <w:r w:rsidR="001469DC">
        <w:rPr>
          <w:sz w:val="28"/>
          <w:lang w:val="vi-VN"/>
        </w:rPr>
        <w:t>Q</w:t>
      </w:r>
      <w:r w:rsidRPr="0086448B">
        <w:rPr>
          <w:sz w:val="28"/>
          <w:lang w:val="vi-VN"/>
        </w:rPr>
        <w:t>uy định phân cấp quản lý chiếu sáng đô thị trên địa bàn tỉnh Tây Ninh</w:t>
      </w:r>
      <w:r w:rsidRPr="0086448B">
        <w:rPr>
          <w:bCs/>
          <w:sz w:val="28"/>
          <w:szCs w:val="28"/>
        </w:rPr>
        <w:t xml:space="preserve"> </w:t>
      </w:r>
      <w:r w:rsidR="009C2182" w:rsidRPr="0086448B">
        <w:rPr>
          <w:bCs/>
          <w:sz w:val="28"/>
          <w:szCs w:val="28"/>
        </w:rPr>
        <w:t xml:space="preserve"> </w:t>
      </w:r>
      <w:r w:rsidR="009C2182" w:rsidRPr="0086448B">
        <w:rPr>
          <w:sz w:val="28"/>
          <w:szCs w:val="28"/>
        </w:rPr>
        <w:t>như sau:</w:t>
      </w:r>
    </w:p>
    <w:p w:rsidR="00C145DB" w:rsidRDefault="009C2182" w:rsidP="00DD67DD">
      <w:pPr>
        <w:spacing w:after="80"/>
        <w:ind w:firstLine="720"/>
        <w:jc w:val="both"/>
        <w:rPr>
          <w:b/>
          <w:sz w:val="28"/>
          <w:szCs w:val="28"/>
          <w:lang w:val="nl-NL"/>
        </w:rPr>
      </w:pPr>
      <w:r>
        <w:rPr>
          <w:b/>
          <w:sz w:val="28"/>
          <w:szCs w:val="28"/>
          <w:lang w:val="nl-NL"/>
        </w:rPr>
        <w:t>I. SỰ CẦN THIẾT BAN HÀNH VĂN BẢN</w:t>
      </w:r>
    </w:p>
    <w:p w:rsidR="00C145DB" w:rsidRPr="005E2CFF" w:rsidRDefault="009C2182" w:rsidP="00DD67DD">
      <w:pPr>
        <w:spacing w:after="80"/>
        <w:ind w:firstLine="720"/>
        <w:jc w:val="both"/>
        <w:rPr>
          <w:b/>
          <w:sz w:val="28"/>
          <w:szCs w:val="28"/>
          <w:lang w:val="nl-NL"/>
        </w:rPr>
      </w:pPr>
      <w:r w:rsidRPr="005E2CFF">
        <w:rPr>
          <w:b/>
          <w:sz w:val="28"/>
          <w:szCs w:val="28"/>
          <w:lang w:val="nl-NL"/>
        </w:rPr>
        <w:t xml:space="preserve">1. Cơ sở chính trị, pháp lý </w:t>
      </w:r>
    </w:p>
    <w:p w:rsidR="00665EA5" w:rsidRPr="00323ED3" w:rsidRDefault="00665EA5" w:rsidP="00665EA5">
      <w:pPr>
        <w:spacing w:after="120"/>
        <w:ind w:firstLine="720"/>
        <w:jc w:val="both"/>
        <w:rPr>
          <w:b/>
          <w:bCs/>
          <w:iCs/>
          <w:sz w:val="28"/>
          <w:szCs w:val="28"/>
          <w:lang w:val="vi-VN"/>
        </w:rPr>
      </w:pPr>
      <w:bookmarkStart w:id="0" w:name="_Hlk211864720"/>
      <w:r w:rsidRPr="00323ED3">
        <w:rPr>
          <w:iCs/>
          <w:sz w:val="28"/>
          <w:szCs w:val="28"/>
          <w:lang w:val="vi-VN"/>
        </w:rPr>
        <w:t>Căn cứ Luật Tổ chức chính quyền địa phương số 72/2025/QH15;</w:t>
      </w:r>
    </w:p>
    <w:p w:rsidR="00665EA5" w:rsidRPr="00323ED3" w:rsidRDefault="00665EA5" w:rsidP="00665EA5">
      <w:pPr>
        <w:spacing w:after="120"/>
        <w:ind w:firstLine="720"/>
        <w:jc w:val="both"/>
        <w:rPr>
          <w:iCs/>
          <w:sz w:val="28"/>
          <w:szCs w:val="28"/>
          <w:lang w:val="vi-VN"/>
        </w:rPr>
      </w:pPr>
      <w:r w:rsidRPr="00323ED3">
        <w:rPr>
          <w:iCs/>
          <w:sz w:val="28"/>
          <w:szCs w:val="28"/>
          <w:lang w:val="vi-VN"/>
        </w:rPr>
        <w:t>Căn cứ Luật Ban hành văn bản quy phạm pháp luật số 64/2025/QH15;</w:t>
      </w:r>
    </w:p>
    <w:p w:rsidR="00665EA5" w:rsidRPr="00323ED3" w:rsidRDefault="00665EA5" w:rsidP="00665EA5">
      <w:pPr>
        <w:spacing w:after="120"/>
        <w:ind w:firstLine="720"/>
        <w:jc w:val="both"/>
        <w:rPr>
          <w:iCs/>
          <w:sz w:val="28"/>
          <w:szCs w:val="28"/>
          <w:lang w:val="vi-VN"/>
        </w:rPr>
      </w:pPr>
      <w:r w:rsidRPr="00323ED3">
        <w:rPr>
          <w:iCs/>
          <w:sz w:val="28"/>
          <w:szCs w:val="28"/>
          <w:lang w:val="vi-VN"/>
        </w:rPr>
        <w:t>Căn cứ Luật sửa đổi, bổ sung một số điều của Luật Ban hành văn bản quy phạm pháp luật số 87/2025/QH15;</w:t>
      </w:r>
    </w:p>
    <w:p w:rsidR="00665EA5" w:rsidRPr="00665EA5" w:rsidRDefault="00665EA5" w:rsidP="00665EA5">
      <w:pPr>
        <w:spacing w:after="120"/>
        <w:ind w:firstLine="720"/>
        <w:jc w:val="both"/>
        <w:rPr>
          <w:iCs/>
          <w:sz w:val="28"/>
          <w:szCs w:val="28"/>
          <w:lang w:val="vi-VN"/>
        </w:rPr>
      </w:pPr>
      <w:r w:rsidRPr="00323ED3">
        <w:rPr>
          <w:iCs/>
          <w:sz w:val="28"/>
          <w:szCs w:val="28"/>
          <w:lang w:val="vi-VN"/>
        </w:rPr>
        <w:t>Căn cứ Luật Xây dựng số 50/2014/QH13; Luật sửa đổi, bổ sung một số điều của Luật Xây dựng số 62/2020/QH14;</w:t>
      </w:r>
    </w:p>
    <w:p w:rsidR="00665EA5" w:rsidRPr="00323ED3" w:rsidRDefault="00665EA5" w:rsidP="00665EA5">
      <w:pPr>
        <w:spacing w:after="120"/>
        <w:ind w:firstLine="720"/>
        <w:jc w:val="both"/>
        <w:rPr>
          <w:iCs/>
          <w:sz w:val="28"/>
          <w:szCs w:val="28"/>
          <w:lang w:val="vi-VN"/>
        </w:rPr>
      </w:pPr>
      <w:r w:rsidRPr="00323ED3">
        <w:rPr>
          <w:sz w:val="28"/>
          <w:szCs w:val="28"/>
        </w:rPr>
        <w:t>Căn cứ Luật Quy hoạch đô thị và nông thôn ngày 26 tháng 11 năm 2024;</w:t>
      </w:r>
    </w:p>
    <w:p w:rsidR="00665EA5" w:rsidRPr="00323ED3" w:rsidRDefault="00665EA5" w:rsidP="00665EA5">
      <w:pPr>
        <w:spacing w:after="120"/>
        <w:ind w:firstLine="720"/>
        <w:jc w:val="both"/>
        <w:rPr>
          <w:iCs/>
          <w:sz w:val="28"/>
          <w:szCs w:val="28"/>
          <w:lang w:val="vi-VN"/>
        </w:rPr>
      </w:pPr>
      <w:r w:rsidRPr="00323ED3">
        <w:rPr>
          <w:iCs/>
          <w:sz w:val="28"/>
          <w:szCs w:val="28"/>
          <w:lang w:val="vi-VN"/>
        </w:rPr>
        <w:t>Căn cứ Luật Điện lực số 61/2024/QH15;</w:t>
      </w:r>
    </w:p>
    <w:p w:rsidR="00665EA5" w:rsidRDefault="00665EA5" w:rsidP="00665EA5">
      <w:pPr>
        <w:spacing w:after="120"/>
        <w:ind w:firstLine="720"/>
        <w:jc w:val="both"/>
        <w:rPr>
          <w:iCs/>
          <w:sz w:val="28"/>
          <w:szCs w:val="28"/>
          <w:lang w:val="vi-VN"/>
        </w:rPr>
      </w:pPr>
      <w:r w:rsidRPr="00323ED3">
        <w:rPr>
          <w:iCs/>
          <w:sz w:val="28"/>
          <w:szCs w:val="28"/>
          <w:lang w:val="vi-VN"/>
        </w:rPr>
        <w:t>Căn cứ Nghị định số 79/2009/NĐ-CP ngày 28 tháng 9 năm 2009 của Chính phủ về quản lý chiếu sáng đô thị;</w:t>
      </w:r>
    </w:p>
    <w:p w:rsidR="00206CDA" w:rsidRPr="00206CDA" w:rsidRDefault="009B5539" w:rsidP="00206CDA">
      <w:pPr>
        <w:spacing w:after="120"/>
        <w:ind w:firstLine="720"/>
        <w:jc w:val="both"/>
        <w:rPr>
          <w:iCs/>
          <w:sz w:val="28"/>
          <w:szCs w:val="28"/>
          <w:lang w:val="vi-VN"/>
        </w:rPr>
      </w:pPr>
      <w:bookmarkStart w:id="1" w:name="_GoBack"/>
      <w:r>
        <w:rPr>
          <w:iCs/>
          <w:color w:val="000000"/>
          <w:sz w:val="28"/>
          <w:szCs w:val="28"/>
          <w:shd w:val="clear" w:color="auto" w:fill="FFFFFF"/>
        </w:rPr>
        <w:t>Căn cứ Nghị định số 140</w:t>
      </w:r>
      <w:r w:rsidR="00206CDA" w:rsidRPr="00206CDA">
        <w:rPr>
          <w:iCs/>
          <w:color w:val="000000"/>
          <w:sz w:val="28"/>
          <w:szCs w:val="28"/>
          <w:shd w:val="clear" w:color="auto" w:fill="FFFFFF"/>
        </w:rPr>
        <w:t>/2025/NĐ-CP của Chính phủ quy định về phân định thẩm quyền của chính quyền địa phương 02 cấp trong lĩnh vực quản lý nhà nước của Bộ Xây dựng;</w:t>
      </w:r>
    </w:p>
    <w:bookmarkEnd w:id="1"/>
    <w:p w:rsidR="00C145DB" w:rsidRPr="005E2CFF" w:rsidRDefault="009C2182" w:rsidP="00DD67DD">
      <w:pPr>
        <w:pStyle w:val="NormalWeb"/>
        <w:widowControl w:val="0"/>
        <w:spacing w:before="0" w:beforeAutospacing="0" w:after="80" w:afterAutospacing="0"/>
        <w:ind w:firstLine="720"/>
        <w:jc w:val="both"/>
        <w:rPr>
          <w:sz w:val="28"/>
          <w:szCs w:val="28"/>
        </w:rPr>
      </w:pPr>
      <w:r w:rsidRPr="005E2CFF">
        <w:rPr>
          <w:sz w:val="28"/>
          <w:szCs w:val="28"/>
        </w:rPr>
        <w:t>Căn cứ Văn bản số</w:t>
      </w:r>
      <w:r w:rsidR="005A5F75" w:rsidRPr="005E2CFF">
        <w:rPr>
          <w:sz w:val="28"/>
          <w:szCs w:val="28"/>
        </w:rPr>
        <w:t xml:space="preserve"> 10390</w:t>
      </w:r>
      <w:r w:rsidRPr="005E2CFF">
        <w:rPr>
          <w:sz w:val="28"/>
          <w:szCs w:val="28"/>
        </w:rPr>
        <w:t>/</w:t>
      </w:r>
      <w:r w:rsidR="005A5F75" w:rsidRPr="005E2CFF">
        <w:rPr>
          <w:sz w:val="28"/>
          <w:szCs w:val="28"/>
        </w:rPr>
        <w:t>UBND-KTTC</w:t>
      </w:r>
      <w:r w:rsidRPr="005E2CFF">
        <w:rPr>
          <w:sz w:val="28"/>
          <w:szCs w:val="28"/>
        </w:rPr>
        <w:t xml:space="preserve"> ngày</w:t>
      </w:r>
      <w:r w:rsidR="005A5F75" w:rsidRPr="005E2CFF">
        <w:rPr>
          <w:sz w:val="28"/>
          <w:szCs w:val="28"/>
        </w:rPr>
        <w:t xml:space="preserve"> 15/12</w:t>
      </w:r>
      <w:r w:rsidRPr="005E2CFF">
        <w:rPr>
          <w:sz w:val="28"/>
          <w:szCs w:val="28"/>
        </w:rPr>
        <w:t xml:space="preserve">/2025 của </w:t>
      </w:r>
      <w:r w:rsidR="005A5F75" w:rsidRPr="005E2CFF">
        <w:rPr>
          <w:sz w:val="28"/>
          <w:szCs w:val="28"/>
          <w:lang w:val="vi-VN" w:eastAsia="vi-VN"/>
        </w:rPr>
        <w:t>Ủy ban nhân dân</w:t>
      </w:r>
      <w:r w:rsidRPr="005E2CFF">
        <w:rPr>
          <w:sz w:val="28"/>
          <w:szCs w:val="28"/>
        </w:rPr>
        <w:t xml:space="preserve"> tỉnh Tây Ninh về việc </w:t>
      </w:r>
      <w:bookmarkEnd w:id="0"/>
      <w:r w:rsidR="005A5F75" w:rsidRPr="005E2CFF">
        <w:rPr>
          <w:sz w:val="28"/>
          <w:szCs w:val="28"/>
        </w:rPr>
        <w:t>xây dựng văn bản quy phạm pháp luật chính quyền địa phương thuộc lĩnh vực ngành Xây dựng.</w:t>
      </w:r>
    </w:p>
    <w:p w:rsidR="00C145DB" w:rsidRDefault="009C2182" w:rsidP="00DD67DD">
      <w:pPr>
        <w:pStyle w:val="NormalWeb"/>
        <w:shd w:val="clear" w:color="auto" w:fill="FFFFFF"/>
        <w:tabs>
          <w:tab w:val="left" w:pos="851"/>
        </w:tabs>
        <w:spacing w:before="0" w:beforeAutospacing="0" w:after="80" w:afterAutospacing="0"/>
        <w:ind w:firstLine="720"/>
        <w:jc w:val="both"/>
        <w:rPr>
          <w:b/>
          <w:bCs/>
          <w:sz w:val="28"/>
          <w:szCs w:val="28"/>
          <w:lang w:val="nl-NL"/>
        </w:rPr>
      </w:pPr>
      <w:r>
        <w:rPr>
          <w:b/>
          <w:bCs/>
          <w:sz w:val="28"/>
          <w:szCs w:val="28"/>
          <w:lang w:val="nl-NL"/>
        </w:rPr>
        <w:t>2. Cơ sở thực tiễn</w:t>
      </w:r>
    </w:p>
    <w:p w:rsidR="001E59C6" w:rsidRDefault="009C2182" w:rsidP="00DD67DD">
      <w:pPr>
        <w:pStyle w:val="NormalWeb"/>
        <w:widowControl w:val="0"/>
        <w:spacing w:before="0" w:beforeAutospacing="0" w:after="80" w:afterAutospacing="0"/>
        <w:ind w:firstLine="720"/>
        <w:jc w:val="both"/>
        <w:rPr>
          <w:rFonts w:eastAsia="Courier New"/>
          <w:sz w:val="28"/>
          <w:szCs w:val="28"/>
          <w:lang w:eastAsia="vi-VN"/>
        </w:rPr>
      </w:pPr>
      <w:r>
        <w:rPr>
          <w:sz w:val="28"/>
          <w:szCs w:val="28"/>
          <w:lang w:val="nl-NL"/>
        </w:rPr>
        <w:t xml:space="preserve">Việc ban hành </w:t>
      </w:r>
      <w:r>
        <w:rPr>
          <w:sz w:val="28"/>
          <w:szCs w:val="28"/>
        </w:rPr>
        <w:t xml:space="preserve">Quyết định </w:t>
      </w:r>
      <w:r w:rsidR="001469DC">
        <w:rPr>
          <w:sz w:val="28"/>
          <w:lang w:val="vi-VN"/>
        </w:rPr>
        <w:t>Q</w:t>
      </w:r>
      <w:r w:rsidR="00487844" w:rsidRPr="0086448B">
        <w:rPr>
          <w:sz w:val="28"/>
          <w:lang w:val="vi-VN"/>
        </w:rPr>
        <w:t>uy định phân cấp quản lý chiếu sáng đô thị trên địa bàn tỉnh Tây Ninh</w:t>
      </w:r>
      <w:r w:rsidR="00487844" w:rsidRPr="0086448B">
        <w:rPr>
          <w:bCs/>
          <w:sz w:val="28"/>
          <w:szCs w:val="28"/>
        </w:rPr>
        <w:t xml:space="preserve"> </w:t>
      </w:r>
      <w:r>
        <w:rPr>
          <w:sz w:val="28"/>
          <w:szCs w:val="28"/>
        </w:rPr>
        <w:t xml:space="preserve">được </w:t>
      </w:r>
      <w:r w:rsidR="005A5F75" w:rsidRPr="005A5F75">
        <w:rPr>
          <w:sz w:val="28"/>
          <w:szCs w:val="28"/>
          <w:lang w:val="vi-VN" w:eastAsia="vi-VN"/>
        </w:rPr>
        <w:t>Ủy ban nhân dân</w:t>
      </w:r>
      <w:r>
        <w:rPr>
          <w:sz w:val="28"/>
          <w:szCs w:val="28"/>
        </w:rPr>
        <w:t xml:space="preserve"> tỉnh cho chủ trương thực hiện tại </w:t>
      </w:r>
      <w:r w:rsidR="005A5F75" w:rsidRPr="005A5F75">
        <w:rPr>
          <w:sz w:val="28"/>
          <w:szCs w:val="28"/>
        </w:rPr>
        <w:t xml:space="preserve">Văn bản số 10390/UBND-KTTC ngày 15/12/2025 của </w:t>
      </w:r>
      <w:r w:rsidR="005A5F75" w:rsidRPr="005A5F75">
        <w:rPr>
          <w:sz w:val="28"/>
          <w:szCs w:val="28"/>
          <w:lang w:val="vi-VN" w:eastAsia="vi-VN"/>
        </w:rPr>
        <w:t>Ủy ban nhân dân</w:t>
      </w:r>
      <w:r w:rsidR="005A5F75" w:rsidRPr="005A5F75">
        <w:rPr>
          <w:sz w:val="28"/>
          <w:szCs w:val="28"/>
        </w:rPr>
        <w:t xml:space="preserve"> tỉnh Tây Ninh về việc xây dựng văn bản quy phạm pháp luật chính quyền địa phương thuộc lĩnh vực ngành Xây dựng</w:t>
      </w:r>
      <w:r>
        <w:rPr>
          <w:sz w:val="28"/>
          <w:szCs w:val="28"/>
        </w:rPr>
        <w:t xml:space="preserve"> để </w:t>
      </w:r>
      <w:r w:rsidR="00957B50">
        <w:rPr>
          <w:sz w:val="28"/>
          <w:szCs w:val="28"/>
          <w:lang w:val="vi-VN"/>
        </w:rPr>
        <w:t>Sở Xây dựng</w:t>
      </w:r>
      <w:r w:rsidR="000C7D58">
        <w:rPr>
          <w:sz w:val="28"/>
          <w:szCs w:val="28"/>
          <w:lang w:val="vi-VN"/>
        </w:rPr>
        <w:t xml:space="preserve"> thực hiện</w:t>
      </w:r>
      <w:r w:rsidR="00957B50">
        <w:rPr>
          <w:sz w:val="28"/>
          <w:szCs w:val="28"/>
          <w:lang w:val="vi-VN"/>
        </w:rPr>
        <w:t xml:space="preserve"> tham mưu </w:t>
      </w:r>
      <w:r w:rsidR="00487844" w:rsidRPr="00F46459">
        <w:rPr>
          <w:sz w:val="28"/>
          <w:szCs w:val="28"/>
          <w:lang w:val="vi-VN"/>
        </w:rPr>
        <w:t>t</w:t>
      </w:r>
      <w:r w:rsidR="00487844" w:rsidRPr="00F46459">
        <w:rPr>
          <w:bCs/>
          <w:color w:val="000000" w:themeColor="text1"/>
          <w:spacing w:val="4"/>
          <w:sz w:val="28"/>
          <w:szCs w:val="28"/>
        </w:rPr>
        <w:t>hay</w:t>
      </w:r>
      <w:r w:rsidR="00487844" w:rsidRPr="00F46459">
        <w:rPr>
          <w:bCs/>
          <w:color w:val="000000" w:themeColor="text1"/>
          <w:spacing w:val="4"/>
          <w:sz w:val="28"/>
          <w:szCs w:val="28"/>
          <w:lang w:val="vi-VN"/>
        </w:rPr>
        <w:t xml:space="preserve"> thế </w:t>
      </w:r>
      <w:r w:rsidR="00487844" w:rsidRPr="00F46459">
        <w:rPr>
          <w:bCs/>
          <w:color w:val="000000" w:themeColor="text1"/>
          <w:spacing w:val="4"/>
          <w:sz w:val="28"/>
          <w:szCs w:val="28"/>
        </w:rPr>
        <w:t xml:space="preserve">Quyết định số 08/2010/QĐ-UBND ngày 22/3/2010 của </w:t>
      </w:r>
      <w:r w:rsidR="005A5F75" w:rsidRPr="005A5F75">
        <w:rPr>
          <w:sz w:val="28"/>
          <w:szCs w:val="28"/>
          <w:lang w:val="vi-VN" w:eastAsia="vi-VN"/>
        </w:rPr>
        <w:t>Ủy ban nhân dân</w:t>
      </w:r>
      <w:r w:rsidR="00487844" w:rsidRPr="00F46459">
        <w:rPr>
          <w:bCs/>
          <w:color w:val="000000" w:themeColor="text1"/>
          <w:spacing w:val="4"/>
          <w:sz w:val="28"/>
          <w:szCs w:val="28"/>
        </w:rPr>
        <w:t xml:space="preserve"> tỉnh Tây Ninh</w:t>
      </w:r>
      <w:r w:rsidR="00487844">
        <w:rPr>
          <w:bCs/>
          <w:color w:val="000000" w:themeColor="text1"/>
          <w:spacing w:val="4"/>
          <w:sz w:val="28"/>
          <w:szCs w:val="28"/>
        </w:rPr>
        <w:t xml:space="preserve"> </w:t>
      </w:r>
      <w:r w:rsidR="00487844" w:rsidRPr="001E59C6">
        <w:rPr>
          <w:bCs/>
          <w:i/>
          <w:color w:val="000000" w:themeColor="text1"/>
          <w:spacing w:val="4"/>
          <w:sz w:val="28"/>
          <w:szCs w:val="28"/>
        </w:rPr>
        <w:t>(cũ)</w:t>
      </w:r>
      <w:r w:rsidR="00487844" w:rsidRPr="001E59C6">
        <w:rPr>
          <w:i/>
          <w:sz w:val="28"/>
          <w:szCs w:val="28"/>
          <w:lang w:val="vi-VN"/>
        </w:rPr>
        <w:t xml:space="preserve"> </w:t>
      </w:r>
      <w:r w:rsidR="00487844" w:rsidRPr="00F46459">
        <w:rPr>
          <w:iCs/>
          <w:sz w:val="28"/>
          <w:szCs w:val="28"/>
          <w:lang w:val="vi-VN"/>
        </w:rPr>
        <w:t>về việc b</w:t>
      </w:r>
      <w:r w:rsidR="00487844" w:rsidRPr="00F46459">
        <w:rPr>
          <w:bCs/>
          <w:sz w:val="28"/>
          <w:szCs w:val="28"/>
          <w:lang w:val="vi-VN"/>
        </w:rPr>
        <w:t xml:space="preserve">an hành Quy định </w:t>
      </w:r>
      <w:r w:rsidR="00487844" w:rsidRPr="00F46459">
        <w:rPr>
          <w:sz w:val="28"/>
          <w:szCs w:val="28"/>
        </w:rPr>
        <w:t xml:space="preserve">phân cấp quản lý chiếu sáng tại đô thị, khu công nghiệp, khu kinh tế trên địa bàn tỉnh Tây </w:t>
      </w:r>
      <w:r w:rsidR="001E59C6">
        <w:rPr>
          <w:sz w:val="28"/>
          <w:szCs w:val="28"/>
        </w:rPr>
        <w:t>Ninh</w:t>
      </w:r>
      <w:r w:rsidR="001E59C6">
        <w:rPr>
          <w:rFonts w:eastAsia="Courier New"/>
          <w:sz w:val="28"/>
          <w:szCs w:val="28"/>
          <w:lang w:eastAsia="vi-VN"/>
        </w:rPr>
        <w:t>.</w:t>
      </w:r>
    </w:p>
    <w:p w:rsidR="00C145DB" w:rsidRDefault="00741578" w:rsidP="00DD67DD">
      <w:pPr>
        <w:pStyle w:val="NormalWeb"/>
        <w:widowControl w:val="0"/>
        <w:spacing w:before="0" w:beforeAutospacing="0" w:after="80" w:afterAutospacing="0"/>
        <w:ind w:firstLine="720"/>
        <w:jc w:val="both"/>
        <w:rPr>
          <w:sz w:val="28"/>
          <w:szCs w:val="28"/>
        </w:rPr>
      </w:pPr>
      <w:r>
        <w:rPr>
          <w:rFonts w:eastAsia="Courier New"/>
          <w:sz w:val="28"/>
          <w:szCs w:val="28"/>
          <w:lang w:eastAsia="vi-VN"/>
        </w:rPr>
        <w:lastRenderedPageBreak/>
        <w:t>Hiện nay</w:t>
      </w:r>
      <w:r w:rsidR="009C2182">
        <w:rPr>
          <w:rFonts w:eastAsia="Courier New"/>
          <w:sz w:val="28"/>
          <w:szCs w:val="28"/>
          <w:lang w:eastAsia="vi-VN"/>
        </w:rPr>
        <w:t xml:space="preserve">, Chính phủ đã ban hành </w:t>
      </w:r>
      <w:r w:rsidR="009C2182">
        <w:rPr>
          <w:rFonts w:eastAsia="Courier New"/>
          <w:sz w:val="28"/>
          <w:szCs w:val="28"/>
          <w:lang w:val="es-ES" w:eastAsia="vi-VN"/>
        </w:rPr>
        <w:t>Nghị định số 140/2025/NĐ-CP ngày 12</w:t>
      </w:r>
      <w:r w:rsidR="009C2182">
        <w:rPr>
          <w:rFonts w:eastAsia="Courier New"/>
          <w:sz w:val="28"/>
          <w:szCs w:val="28"/>
          <w:lang w:val="vi-VN" w:eastAsia="vi-VN"/>
        </w:rPr>
        <w:t>/6/2025</w:t>
      </w:r>
      <w:r w:rsidR="009C2182">
        <w:rPr>
          <w:rFonts w:eastAsia="Courier New"/>
          <w:sz w:val="28"/>
          <w:szCs w:val="28"/>
          <w:lang w:val="es-ES" w:eastAsia="vi-VN"/>
        </w:rPr>
        <w:t xml:space="preserve"> </w:t>
      </w:r>
      <w:r w:rsidR="00957B50">
        <w:rPr>
          <w:rFonts w:eastAsia="Courier New"/>
          <w:sz w:val="28"/>
          <w:szCs w:val="28"/>
          <w:lang w:val="es-ES" w:eastAsia="vi-VN"/>
        </w:rPr>
        <w:t>q</w:t>
      </w:r>
      <w:r w:rsidR="009C2182">
        <w:rPr>
          <w:sz w:val="28"/>
          <w:szCs w:val="28"/>
        </w:rPr>
        <w:t xml:space="preserve">uy định về phân định thẩm quyền của chính quyền địa phương 02 cấp trong lĩnh vực quản lý nhà nước của Bộ Xây dựng. </w:t>
      </w:r>
    </w:p>
    <w:p w:rsidR="00C145DB" w:rsidRDefault="009C2182" w:rsidP="00DD67DD">
      <w:pPr>
        <w:spacing w:after="80"/>
        <w:ind w:firstLine="720"/>
        <w:jc w:val="both"/>
        <w:rPr>
          <w:sz w:val="28"/>
          <w:szCs w:val="28"/>
        </w:rPr>
      </w:pPr>
      <w:r>
        <w:rPr>
          <w:sz w:val="28"/>
          <w:szCs w:val="28"/>
        </w:rPr>
        <w:t>Do đó, để triển khai thực hiện quy định tại Điều 19</w:t>
      </w:r>
      <w:r>
        <w:rPr>
          <w:iCs/>
          <w:sz w:val="28"/>
          <w:szCs w:val="28"/>
        </w:rPr>
        <w:t xml:space="preserve"> Nghị định số 140/2025/NĐ-CP ngày 12 tháng 6 năm 2025 của Chính phủ về phân định thẩm quyền của chính quyền địa phương 02 cấp trong lĩnh vực quản lý nhà nước của Bộ Xây dựng </w:t>
      </w:r>
      <w:r>
        <w:rPr>
          <w:sz w:val="28"/>
          <w:szCs w:val="28"/>
        </w:rPr>
        <w:t xml:space="preserve">một cách đồng bộ, thống nhất cho tỉnh Tây Ninh mới, Sở Xây dựng tham mưu </w:t>
      </w:r>
      <w:r w:rsidR="005A5F75" w:rsidRPr="005A5F75">
        <w:rPr>
          <w:sz w:val="28"/>
          <w:szCs w:val="28"/>
          <w:lang w:val="vi-VN" w:eastAsia="vi-VN"/>
        </w:rPr>
        <w:t>Ủy ban nhân dân</w:t>
      </w:r>
      <w:r>
        <w:rPr>
          <w:sz w:val="28"/>
          <w:szCs w:val="28"/>
        </w:rPr>
        <w:t xml:space="preserve"> tỉnh ban hành lại </w:t>
      </w:r>
      <w:r w:rsidR="001E59C6">
        <w:rPr>
          <w:sz w:val="28"/>
          <w:szCs w:val="28"/>
        </w:rPr>
        <w:t xml:space="preserve">Quyết định </w:t>
      </w:r>
      <w:r w:rsidR="001469DC">
        <w:rPr>
          <w:sz w:val="28"/>
          <w:lang w:val="vi-VN"/>
        </w:rPr>
        <w:t>Q</w:t>
      </w:r>
      <w:r w:rsidR="001E59C6" w:rsidRPr="0086448B">
        <w:rPr>
          <w:sz w:val="28"/>
          <w:lang w:val="vi-VN"/>
        </w:rPr>
        <w:t>uy định phân cấp quản lý chiếu sáng đô thị trên địa bàn tỉnh Tây Ninh</w:t>
      </w:r>
      <w:r w:rsidR="001E59C6">
        <w:rPr>
          <w:sz w:val="28"/>
          <w:szCs w:val="28"/>
        </w:rPr>
        <w:t xml:space="preserve"> </w:t>
      </w:r>
      <w:r>
        <w:rPr>
          <w:sz w:val="28"/>
          <w:szCs w:val="28"/>
        </w:rPr>
        <w:t>là cần thiết và phù hợp với thẩm quyền được giao.</w:t>
      </w:r>
    </w:p>
    <w:p w:rsidR="00C145DB" w:rsidRDefault="009C2182" w:rsidP="00DD67DD">
      <w:pPr>
        <w:spacing w:after="80"/>
        <w:ind w:firstLine="720"/>
        <w:jc w:val="both"/>
        <w:rPr>
          <w:b/>
          <w:bCs/>
          <w:sz w:val="28"/>
          <w:szCs w:val="28"/>
          <w:lang w:val="nl-NL"/>
        </w:rPr>
      </w:pPr>
      <w:r>
        <w:rPr>
          <w:b/>
          <w:bCs/>
          <w:sz w:val="28"/>
          <w:szCs w:val="28"/>
          <w:lang w:val="nl-NL"/>
        </w:rPr>
        <w:t>II. MỤC ĐÍCH BAN HÀNH, QUAN ĐIỂM XÂY DỰNG DỰ THẢO VĂN BẢN</w:t>
      </w:r>
    </w:p>
    <w:p w:rsidR="00C145DB" w:rsidRDefault="009C2182" w:rsidP="00DD67DD">
      <w:pPr>
        <w:pStyle w:val="NormalWeb"/>
        <w:shd w:val="clear" w:color="auto" w:fill="FFFFFF"/>
        <w:tabs>
          <w:tab w:val="left" w:pos="851"/>
        </w:tabs>
        <w:spacing w:before="0" w:beforeAutospacing="0" w:after="80" w:afterAutospacing="0"/>
        <w:ind w:firstLine="720"/>
        <w:jc w:val="both"/>
        <w:rPr>
          <w:b/>
          <w:bCs/>
          <w:sz w:val="28"/>
          <w:szCs w:val="28"/>
          <w:lang w:val="vi-VN"/>
        </w:rPr>
      </w:pPr>
      <w:r>
        <w:rPr>
          <w:b/>
          <w:bCs/>
          <w:sz w:val="28"/>
          <w:szCs w:val="28"/>
          <w:lang w:val="nl-NL"/>
        </w:rPr>
        <w:t>1. Mục đích ban hành văn bản</w:t>
      </w:r>
    </w:p>
    <w:p w:rsidR="00C145DB" w:rsidRDefault="009C2182" w:rsidP="00DD67DD">
      <w:pPr>
        <w:spacing w:after="80"/>
        <w:ind w:firstLine="720"/>
        <w:jc w:val="both"/>
        <w:rPr>
          <w:sz w:val="28"/>
          <w:szCs w:val="28"/>
          <w:lang w:val="vi-VN"/>
        </w:rPr>
      </w:pPr>
      <w:bookmarkStart w:id="2" w:name="_Hlk208394361"/>
      <w:r>
        <w:rPr>
          <w:sz w:val="28"/>
          <w:szCs w:val="24"/>
        </w:rPr>
        <w:t xml:space="preserve">Việc tham mưu trình </w:t>
      </w:r>
      <w:r w:rsidR="005A5F75" w:rsidRPr="005A5F75">
        <w:rPr>
          <w:sz w:val="28"/>
          <w:szCs w:val="28"/>
          <w:lang w:val="vi-VN" w:eastAsia="vi-VN"/>
        </w:rPr>
        <w:t>Ủy ban nhân dân</w:t>
      </w:r>
      <w:r>
        <w:rPr>
          <w:sz w:val="28"/>
          <w:szCs w:val="24"/>
        </w:rPr>
        <w:t xml:space="preserve"> tỉnh ban</w:t>
      </w:r>
      <w:r>
        <w:rPr>
          <w:sz w:val="28"/>
          <w:szCs w:val="24"/>
          <w:lang w:val="vi-VN"/>
        </w:rPr>
        <w:t xml:space="preserve"> hành </w:t>
      </w:r>
      <w:r w:rsidR="001E59C6">
        <w:rPr>
          <w:sz w:val="28"/>
          <w:szCs w:val="28"/>
        </w:rPr>
        <w:t xml:space="preserve">Quyết định </w:t>
      </w:r>
      <w:r w:rsidR="001469DC">
        <w:rPr>
          <w:sz w:val="28"/>
          <w:szCs w:val="28"/>
        </w:rPr>
        <w:t>Q</w:t>
      </w:r>
      <w:r w:rsidR="001E59C6" w:rsidRPr="0086448B">
        <w:rPr>
          <w:sz w:val="28"/>
          <w:lang w:val="vi-VN"/>
        </w:rPr>
        <w:t>uy định phân cấp quản lý chiếu sáng đô thị trên địa bàn tỉnh Tây Ninh</w:t>
      </w:r>
      <w:r w:rsidR="001E59C6">
        <w:rPr>
          <w:iCs/>
          <w:sz w:val="28"/>
          <w:szCs w:val="28"/>
        </w:rPr>
        <w:t xml:space="preserve"> </w:t>
      </w:r>
      <w:r>
        <w:rPr>
          <w:iCs/>
          <w:sz w:val="28"/>
          <w:szCs w:val="28"/>
          <w:lang w:val="vi-VN"/>
        </w:rPr>
        <w:t xml:space="preserve">để quy định cụ thể </w:t>
      </w:r>
      <w:r>
        <w:rPr>
          <w:sz w:val="28"/>
          <w:szCs w:val="28"/>
        </w:rPr>
        <w:t xml:space="preserve">thẩm quyền </w:t>
      </w:r>
      <w:bookmarkEnd w:id="2"/>
      <w:r>
        <w:rPr>
          <w:bCs/>
          <w:sz w:val="28"/>
          <w:szCs w:val="28"/>
        </w:rPr>
        <w:t>của các đơn vị có liên quan</w:t>
      </w:r>
      <w:r>
        <w:rPr>
          <w:bCs/>
          <w:sz w:val="28"/>
          <w:szCs w:val="28"/>
          <w:lang w:val="vi-VN"/>
        </w:rPr>
        <w:t xml:space="preserve"> theo </w:t>
      </w:r>
      <w:r>
        <w:rPr>
          <w:bCs/>
          <w:sz w:val="28"/>
          <w:szCs w:val="28"/>
        </w:rPr>
        <w:t xml:space="preserve">đúng </w:t>
      </w:r>
      <w:r>
        <w:rPr>
          <w:bCs/>
          <w:sz w:val="28"/>
          <w:szCs w:val="28"/>
          <w:lang w:val="vi-VN"/>
        </w:rPr>
        <w:t>quy định của pháp luật.</w:t>
      </w:r>
    </w:p>
    <w:p w:rsidR="00C145DB" w:rsidRDefault="009C2182" w:rsidP="00DD67DD">
      <w:pPr>
        <w:pStyle w:val="NormalWeb"/>
        <w:shd w:val="clear" w:color="auto" w:fill="FFFFFF"/>
        <w:tabs>
          <w:tab w:val="left" w:pos="851"/>
        </w:tabs>
        <w:spacing w:before="0" w:beforeAutospacing="0" w:after="80" w:afterAutospacing="0"/>
        <w:ind w:firstLine="720"/>
        <w:jc w:val="both"/>
        <w:rPr>
          <w:b/>
          <w:bCs/>
          <w:sz w:val="28"/>
          <w:szCs w:val="28"/>
          <w:lang w:val="vi-VN"/>
        </w:rPr>
      </w:pPr>
      <w:r>
        <w:rPr>
          <w:b/>
          <w:bCs/>
          <w:sz w:val="28"/>
          <w:szCs w:val="28"/>
          <w:lang w:val="nl-NL"/>
        </w:rPr>
        <w:t>2. Quan điểm xây dựng dự thảo văn bản</w:t>
      </w:r>
    </w:p>
    <w:p w:rsidR="00C145DB" w:rsidRDefault="009C2182" w:rsidP="00DD67DD">
      <w:pPr>
        <w:pStyle w:val="NormalWeb"/>
        <w:shd w:val="clear" w:color="auto" w:fill="FFFFFF"/>
        <w:tabs>
          <w:tab w:val="left" w:pos="851"/>
        </w:tabs>
        <w:spacing w:before="0" w:beforeAutospacing="0" w:after="80" w:afterAutospacing="0"/>
        <w:ind w:firstLine="720"/>
        <w:jc w:val="both"/>
        <w:rPr>
          <w:iCs/>
          <w:sz w:val="28"/>
          <w:szCs w:val="28"/>
        </w:rPr>
      </w:pPr>
      <w:r>
        <w:rPr>
          <w:sz w:val="28"/>
        </w:rPr>
        <w:t xml:space="preserve">Việc tham mưu trình </w:t>
      </w:r>
      <w:r w:rsidR="005A5F75" w:rsidRPr="005A5F75">
        <w:rPr>
          <w:sz w:val="28"/>
          <w:szCs w:val="28"/>
          <w:lang w:val="vi-VN" w:eastAsia="vi-VN"/>
        </w:rPr>
        <w:t>Ủy ban nhân dân</w:t>
      </w:r>
      <w:r>
        <w:rPr>
          <w:sz w:val="28"/>
        </w:rPr>
        <w:t xml:space="preserve"> tỉnh ban</w:t>
      </w:r>
      <w:r>
        <w:rPr>
          <w:sz w:val="28"/>
          <w:lang w:val="vi-VN"/>
        </w:rPr>
        <w:t xml:space="preserve"> hành </w:t>
      </w:r>
      <w:r w:rsidR="001E59C6">
        <w:rPr>
          <w:sz w:val="28"/>
          <w:szCs w:val="28"/>
        </w:rPr>
        <w:t xml:space="preserve">Quyết định </w:t>
      </w:r>
      <w:r w:rsidR="001469DC">
        <w:rPr>
          <w:sz w:val="28"/>
          <w:szCs w:val="28"/>
        </w:rPr>
        <w:t>Q</w:t>
      </w:r>
      <w:r w:rsidR="001E59C6" w:rsidRPr="0086448B">
        <w:rPr>
          <w:sz w:val="28"/>
          <w:lang w:val="vi-VN"/>
        </w:rPr>
        <w:t>uy định phân cấp quản lý chiếu sáng đô thị trên địa bàn tỉnh Tây Ninh</w:t>
      </w:r>
      <w:r w:rsidR="001E59C6">
        <w:rPr>
          <w:bCs/>
          <w:sz w:val="28"/>
        </w:rPr>
        <w:t xml:space="preserve"> </w:t>
      </w:r>
      <w:r>
        <w:rPr>
          <w:bCs/>
          <w:sz w:val="28"/>
        </w:rPr>
        <w:t>phải</w:t>
      </w:r>
      <w:r>
        <w:rPr>
          <w:sz w:val="28"/>
        </w:rPr>
        <w:t xml:space="preserve"> bảo đảm đúng thẩm quyền, trình tự, thủ tục và các quy định của Luật Ban hành văn bản </w:t>
      </w:r>
      <w:r>
        <w:rPr>
          <w:sz w:val="28"/>
          <w:szCs w:val="28"/>
        </w:rPr>
        <w:t xml:space="preserve">quy phạm pháp luật </w:t>
      </w:r>
      <w:r>
        <w:rPr>
          <w:sz w:val="28"/>
        </w:rPr>
        <w:t>số 64/2025/QH15</w:t>
      </w:r>
      <w:r>
        <w:rPr>
          <w:sz w:val="28"/>
          <w:lang w:val="vi-VN"/>
        </w:rPr>
        <w:t xml:space="preserve"> </w:t>
      </w:r>
      <w:r>
        <w:rPr>
          <w:iCs/>
          <w:sz w:val="28"/>
          <w:szCs w:val="28"/>
        </w:rPr>
        <w:t>ngày 19/02/2025</w:t>
      </w:r>
      <w:r>
        <w:rPr>
          <w:iCs/>
          <w:sz w:val="28"/>
          <w:szCs w:val="28"/>
          <w:lang w:val="vi-VN"/>
        </w:rPr>
        <w:t xml:space="preserve">; theo quy định tại </w:t>
      </w:r>
      <w:r>
        <w:rPr>
          <w:iCs/>
          <w:sz w:val="28"/>
          <w:szCs w:val="28"/>
        </w:rPr>
        <w:t>19 Nghị định số 140/2025/NĐ-CP ngày 12 tháng 6 năm 2025 của Chính phủ về phân định thẩm quyền của chính quyền địa phương 02 cấp trong lĩnh vực quản lý nhà nước của Bộ Xây dựng.</w:t>
      </w:r>
    </w:p>
    <w:p w:rsidR="005E2CFF" w:rsidRPr="005E2CFF" w:rsidRDefault="005E2CFF" w:rsidP="005E2CFF">
      <w:pPr>
        <w:spacing w:before="120" w:after="120"/>
        <w:ind w:firstLine="709"/>
        <w:jc w:val="both"/>
        <w:rPr>
          <w:sz w:val="24"/>
          <w:szCs w:val="24"/>
        </w:rPr>
      </w:pPr>
      <w:r w:rsidRPr="005E2CFF">
        <w:rPr>
          <w:color w:val="000000"/>
          <w:sz w:val="28"/>
          <w:szCs w:val="28"/>
        </w:rPr>
        <w:t xml:space="preserve">Bảo đảm tính công khai, dân chủ trong việc tiếp nhận, phản hồi ý kiến, kiến nghị của cơ quan, tổ chức, đơn vị có liên quan và </w:t>
      </w:r>
      <w:r w:rsidRPr="005A5F75">
        <w:rPr>
          <w:sz w:val="28"/>
          <w:szCs w:val="28"/>
          <w:lang w:val="vi-VN" w:eastAsia="vi-VN"/>
        </w:rPr>
        <w:t>Ủy ban nhân dân</w:t>
      </w:r>
      <w:r>
        <w:rPr>
          <w:sz w:val="28"/>
        </w:rPr>
        <w:t xml:space="preserve"> </w:t>
      </w:r>
      <w:r w:rsidRPr="005E2CFF">
        <w:rPr>
          <w:color w:val="000000"/>
          <w:sz w:val="28"/>
          <w:szCs w:val="28"/>
        </w:rPr>
        <w:t>xã, phường trong quá trình xây dựng, ban hành văn bản.</w:t>
      </w:r>
    </w:p>
    <w:p w:rsidR="00C145DB" w:rsidRDefault="009C2182" w:rsidP="00DD67DD">
      <w:pPr>
        <w:pStyle w:val="NormalWeb"/>
        <w:shd w:val="clear" w:color="auto" w:fill="FFFFFF"/>
        <w:tabs>
          <w:tab w:val="left" w:pos="851"/>
        </w:tabs>
        <w:spacing w:before="0" w:beforeAutospacing="0" w:after="80" w:afterAutospacing="0"/>
        <w:ind w:firstLine="720"/>
        <w:jc w:val="both"/>
        <w:rPr>
          <w:b/>
          <w:bCs/>
          <w:sz w:val="28"/>
          <w:szCs w:val="28"/>
          <w:lang w:val="nl-NL"/>
        </w:rPr>
      </w:pPr>
      <w:r>
        <w:rPr>
          <w:b/>
          <w:bCs/>
          <w:sz w:val="28"/>
          <w:szCs w:val="28"/>
          <w:lang w:val="nl-NL"/>
        </w:rPr>
        <w:t xml:space="preserve">III. QUÁ TRÌNH XÂY DỰNG DỰ THẢO </w:t>
      </w:r>
      <w:r w:rsidR="00477EF1">
        <w:rPr>
          <w:b/>
          <w:bCs/>
          <w:sz w:val="28"/>
          <w:szCs w:val="28"/>
          <w:lang w:val="nl-NL"/>
        </w:rPr>
        <w:t>QUYẾT ĐỊNH</w:t>
      </w:r>
    </w:p>
    <w:p w:rsidR="00C145DB" w:rsidRDefault="009C2182" w:rsidP="00DD67DD">
      <w:pPr>
        <w:tabs>
          <w:tab w:val="left" w:pos="2289"/>
        </w:tabs>
        <w:spacing w:after="80"/>
        <w:ind w:firstLine="720"/>
        <w:jc w:val="both"/>
        <w:rPr>
          <w:i/>
          <w:iCs/>
          <w:sz w:val="28"/>
          <w:szCs w:val="28"/>
        </w:rPr>
      </w:pPr>
      <w:r>
        <w:rPr>
          <w:sz w:val="28"/>
          <w:szCs w:val="28"/>
        </w:rPr>
        <w:t>Quá trình soạn thảo dự thảo Quyết định, Sở Xây dựng đã tiến hành theo trình tự, thủ tục được quy định tại Điều 49, Điều 50, Điều 51 của Nghị định số 78/2025/NĐ-CP ngày 01/4/2025 được sửa đổi, bổ sung tại khoản 28, 29 Điều 1 của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gửi văn bản dự thảo đến</w:t>
      </w:r>
      <w:r>
        <w:rPr>
          <w:iCs/>
          <w:sz w:val="28"/>
          <w:szCs w:val="28"/>
        </w:rPr>
        <w:t xml:space="preserve"> các cơ quan liên quan như: </w:t>
      </w:r>
      <w:r w:rsidR="001E59C6" w:rsidRPr="00745FEB">
        <w:rPr>
          <w:sz w:val="28"/>
          <w:szCs w:val="28"/>
          <w:lang w:val="vi-VN"/>
        </w:rPr>
        <w:t>Ban Quản lý Khu kinh tế</w:t>
      </w:r>
      <w:r w:rsidR="001E59C6">
        <w:rPr>
          <w:iCs/>
          <w:sz w:val="28"/>
          <w:szCs w:val="28"/>
        </w:rPr>
        <w:t xml:space="preserve"> </w:t>
      </w:r>
      <w:r>
        <w:rPr>
          <w:iCs/>
          <w:sz w:val="28"/>
          <w:szCs w:val="28"/>
        </w:rPr>
        <w:t xml:space="preserve">tỉnh; các Sở ngành tỉnh, </w:t>
      </w:r>
      <w:r w:rsidR="005A5F75" w:rsidRPr="005A5F75">
        <w:rPr>
          <w:sz w:val="28"/>
          <w:szCs w:val="28"/>
          <w:lang w:val="vi-VN" w:eastAsia="vi-VN"/>
        </w:rPr>
        <w:t>Ủy ban nhân dân</w:t>
      </w:r>
      <w:r>
        <w:rPr>
          <w:iCs/>
          <w:sz w:val="28"/>
          <w:szCs w:val="28"/>
        </w:rPr>
        <w:t xml:space="preserve"> các xã, phường và </w:t>
      </w:r>
      <w:r>
        <w:rPr>
          <w:sz w:val="28"/>
          <w:szCs w:val="28"/>
          <w:shd w:val="clear" w:color="auto" w:fill="FFFFFF"/>
        </w:rPr>
        <w:t xml:space="preserve">gửi </w:t>
      </w:r>
      <w:r>
        <w:rPr>
          <w:sz w:val="28"/>
          <w:szCs w:val="28"/>
        </w:rPr>
        <w:t xml:space="preserve">Trung tâm Công báo Tin học - Văn phòng </w:t>
      </w:r>
      <w:r w:rsidR="005A5F75" w:rsidRPr="005A5F75">
        <w:rPr>
          <w:sz w:val="28"/>
          <w:szCs w:val="28"/>
          <w:lang w:val="vi-VN" w:eastAsia="vi-VN"/>
        </w:rPr>
        <w:t>Ủy ban nhân dân</w:t>
      </w:r>
      <w:r>
        <w:rPr>
          <w:sz w:val="28"/>
          <w:szCs w:val="28"/>
        </w:rPr>
        <w:t xml:space="preserve"> tỉnh </w:t>
      </w:r>
      <w:r>
        <w:rPr>
          <w:iCs/>
          <w:sz w:val="28"/>
          <w:szCs w:val="28"/>
        </w:rPr>
        <w:t xml:space="preserve">để lấy ý kiến đóng góp, gửi Sở Tư pháp thẩm định và </w:t>
      </w:r>
      <w:r>
        <w:rPr>
          <w:sz w:val="28"/>
          <w:szCs w:val="28"/>
          <w:shd w:val="clear" w:color="auto" w:fill="FFFFFF"/>
        </w:rPr>
        <w:t xml:space="preserve">Sở Tư pháp tỉnh đã có ý kiến thẩm định tại văn bản </w:t>
      </w:r>
      <w:bookmarkStart w:id="3" w:name="_Hlk209185638"/>
      <w:r>
        <w:rPr>
          <w:sz w:val="28"/>
          <w:szCs w:val="28"/>
          <w:shd w:val="clear" w:color="auto" w:fill="FFFFFF"/>
        </w:rPr>
        <w:t xml:space="preserve">số </w:t>
      </w:r>
      <w:bookmarkEnd w:id="3"/>
      <w:r>
        <w:rPr>
          <w:sz w:val="28"/>
          <w:szCs w:val="28"/>
          <w:shd w:val="clear" w:color="auto" w:fill="FFFFFF"/>
        </w:rPr>
        <w:t xml:space="preserve">……… ngày </w:t>
      </w:r>
      <w:r w:rsidR="005A5F75">
        <w:rPr>
          <w:sz w:val="28"/>
          <w:szCs w:val="28"/>
          <w:shd w:val="clear" w:color="auto" w:fill="FFFFFF"/>
        </w:rPr>
        <w:t>../…/..</w:t>
      </w:r>
      <w:r>
        <w:rPr>
          <w:sz w:val="28"/>
          <w:szCs w:val="28"/>
          <w:shd w:val="clear" w:color="auto" w:fill="FFFFFF"/>
        </w:rPr>
        <w:t>.,</w:t>
      </w:r>
      <w:r>
        <w:rPr>
          <w:iCs/>
          <w:sz w:val="28"/>
          <w:szCs w:val="28"/>
        </w:rPr>
        <w:t xml:space="preserve"> Sở Xây dựng đã tiếp thu ý kiến đóng góp của các cơ quan, đơn vị và ý kiến thẩm định của Sở Tư pháp và đã chỉnh lý hoàn chỉnh dự thảo </w:t>
      </w:r>
      <w:r w:rsidR="001E59C6">
        <w:rPr>
          <w:sz w:val="28"/>
          <w:szCs w:val="28"/>
        </w:rPr>
        <w:t xml:space="preserve">Quyết định </w:t>
      </w:r>
      <w:r w:rsidR="001469DC">
        <w:rPr>
          <w:sz w:val="28"/>
          <w:lang w:val="vi-VN"/>
        </w:rPr>
        <w:t>Q</w:t>
      </w:r>
      <w:r w:rsidR="001E59C6" w:rsidRPr="0086448B">
        <w:rPr>
          <w:sz w:val="28"/>
          <w:lang w:val="vi-VN"/>
        </w:rPr>
        <w:t>uy định phân cấp quản lý chiếu sáng đô thị trên địa bàn tỉnh Tây Ninh</w:t>
      </w:r>
      <w:r>
        <w:rPr>
          <w:bCs/>
          <w:sz w:val="28"/>
          <w:szCs w:val="28"/>
        </w:rPr>
        <w:t>.</w:t>
      </w:r>
    </w:p>
    <w:p w:rsidR="00C145DB" w:rsidRDefault="009C2182" w:rsidP="00DD67DD">
      <w:pPr>
        <w:pStyle w:val="NormalWeb"/>
        <w:shd w:val="clear" w:color="auto" w:fill="FFFFFF"/>
        <w:tabs>
          <w:tab w:val="left" w:pos="851"/>
        </w:tabs>
        <w:spacing w:before="0" w:beforeAutospacing="0" w:after="80" w:afterAutospacing="0"/>
        <w:ind w:firstLine="720"/>
        <w:jc w:val="both"/>
        <w:rPr>
          <w:b/>
          <w:bCs/>
          <w:sz w:val="28"/>
          <w:szCs w:val="28"/>
        </w:rPr>
      </w:pPr>
      <w:r>
        <w:rPr>
          <w:b/>
          <w:bCs/>
          <w:sz w:val="28"/>
          <w:szCs w:val="28"/>
          <w:lang w:val="nl-NL"/>
        </w:rPr>
        <w:t>IV. BỐ CỤC VÀ NỘI DUNG CƠ BẢN CỦA DỰ THẢO VĂN BẢN</w:t>
      </w:r>
    </w:p>
    <w:p w:rsidR="00A45097" w:rsidRPr="00A45097" w:rsidRDefault="00A45097" w:rsidP="00A45097">
      <w:pPr>
        <w:spacing w:after="80" w:line="252" w:lineRule="auto"/>
        <w:ind w:firstLine="709"/>
        <w:jc w:val="both"/>
        <w:rPr>
          <w:b/>
          <w:bCs/>
          <w:sz w:val="28"/>
          <w:szCs w:val="28"/>
          <w:lang w:eastAsia="vi-VN"/>
        </w:rPr>
      </w:pPr>
      <w:r w:rsidRPr="00A45097">
        <w:rPr>
          <w:b/>
          <w:bCs/>
          <w:sz w:val="28"/>
          <w:szCs w:val="28"/>
          <w:lang w:eastAsia="vi-VN"/>
        </w:rPr>
        <w:lastRenderedPageBreak/>
        <w:t>Điều 1. Phạm vi điều chỉnh</w:t>
      </w:r>
    </w:p>
    <w:p w:rsidR="00A45097" w:rsidRPr="00A45097" w:rsidRDefault="00A45097" w:rsidP="00A45097">
      <w:pPr>
        <w:spacing w:after="80" w:line="252" w:lineRule="auto"/>
        <w:ind w:firstLine="709"/>
        <w:jc w:val="both"/>
        <w:rPr>
          <w:sz w:val="28"/>
          <w:szCs w:val="28"/>
          <w:lang w:val="vi-VN" w:eastAsia="vi-VN"/>
        </w:rPr>
      </w:pPr>
      <w:r w:rsidRPr="00A45097">
        <w:rPr>
          <w:sz w:val="28"/>
          <w:szCs w:val="28"/>
          <w:lang w:eastAsia="vi-VN"/>
        </w:rPr>
        <w:t>1. Phạm vi điều chỉnh</w:t>
      </w:r>
    </w:p>
    <w:p w:rsidR="00A45097" w:rsidRPr="00A45097" w:rsidRDefault="00A45097" w:rsidP="00A45097">
      <w:pPr>
        <w:spacing w:after="80" w:line="252" w:lineRule="auto"/>
        <w:ind w:firstLine="709"/>
        <w:jc w:val="both"/>
        <w:rPr>
          <w:sz w:val="28"/>
          <w:szCs w:val="28"/>
          <w:lang w:val="vi-VN" w:eastAsia="vi-VN"/>
        </w:rPr>
      </w:pPr>
      <w:r w:rsidRPr="00A45097">
        <w:rPr>
          <w:sz w:val="28"/>
          <w:szCs w:val="28"/>
          <w:lang w:val="vi-VN" w:eastAsia="vi-VN"/>
        </w:rPr>
        <w:t>- Quy định về phân cấp quản lý nhà nước đối với hoạt động chiếu sáng đô thị tại các đô thị, mở rộng áp dụng trên địa bàn toàn tỉnh Tây Ninh theo quy định tại khoản 1 Điều 1 Nghị định số 79/2009/NĐ-CP ngày 28 tháng 9 năm 2009 của Chính phủ về quản lý chiếu sáng đô thị.</w:t>
      </w:r>
    </w:p>
    <w:p w:rsidR="00A45097" w:rsidRPr="00A45097" w:rsidRDefault="00A45097" w:rsidP="00A45097">
      <w:pPr>
        <w:spacing w:after="80" w:line="252" w:lineRule="auto"/>
        <w:ind w:firstLine="709"/>
        <w:jc w:val="both"/>
        <w:rPr>
          <w:sz w:val="28"/>
          <w:szCs w:val="28"/>
          <w:lang w:val="vi-VN" w:eastAsia="vi-VN"/>
        </w:rPr>
      </w:pPr>
      <w:r w:rsidRPr="00A45097">
        <w:rPr>
          <w:sz w:val="28"/>
          <w:szCs w:val="28"/>
          <w:lang w:val="vi-VN" w:eastAsia="vi-VN"/>
        </w:rPr>
        <w:t>- Những nội dung không được quy định trong Quyết định này thì thực hiện theo quy định tại Nghị định số 79/2009/NĐ-CP và các văn bản quy phạm pháp luật khác có liên quan.</w:t>
      </w:r>
    </w:p>
    <w:p w:rsidR="00A45097" w:rsidRPr="00A45097" w:rsidRDefault="00A45097" w:rsidP="00A45097">
      <w:pPr>
        <w:spacing w:after="80" w:line="252" w:lineRule="auto"/>
        <w:ind w:firstLine="709"/>
        <w:jc w:val="both"/>
        <w:rPr>
          <w:sz w:val="28"/>
          <w:szCs w:val="28"/>
          <w:lang w:val="vi-VN" w:eastAsia="vi-VN"/>
        </w:rPr>
      </w:pPr>
      <w:r w:rsidRPr="00A45097">
        <w:rPr>
          <w:b/>
          <w:bCs/>
          <w:sz w:val="28"/>
          <w:szCs w:val="28"/>
          <w:lang w:eastAsia="vi-VN"/>
        </w:rPr>
        <w:t>Điều 2</w:t>
      </w:r>
      <w:r w:rsidRPr="00A45097">
        <w:rPr>
          <w:sz w:val="28"/>
          <w:szCs w:val="28"/>
          <w:lang w:eastAsia="vi-VN"/>
        </w:rPr>
        <w:t xml:space="preserve">. </w:t>
      </w:r>
      <w:r w:rsidRPr="00A45097">
        <w:rPr>
          <w:b/>
          <w:sz w:val="28"/>
          <w:szCs w:val="28"/>
        </w:rPr>
        <w:t>Đối tượng áp dụng</w:t>
      </w:r>
    </w:p>
    <w:p w:rsidR="00A45097" w:rsidRPr="00A45097" w:rsidRDefault="00A45097" w:rsidP="00A45097">
      <w:pPr>
        <w:spacing w:after="80" w:line="252" w:lineRule="auto"/>
        <w:ind w:firstLine="709"/>
        <w:jc w:val="both"/>
        <w:rPr>
          <w:sz w:val="28"/>
          <w:szCs w:val="28"/>
          <w:lang w:val="vi-VN" w:eastAsia="vi-VN"/>
        </w:rPr>
      </w:pPr>
      <w:r w:rsidRPr="00A45097">
        <w:rPr>
          <w:sz w:val="28"/>
          <w:szCs w:val="28"/>
          <w:lang w:eastAsia="vi-VN"/>
        </w:rPr>
        <w:t>Quy định này áp dụng cho các Sở, ban ngành tỉnh, Ủy ban nhân dân xã, phường (sau đây gọi tắt là Ủy ban nhân dân cấp xã) và các tổ chức, cá nhân có liên quan đến hoạt động quản lý chiếu sáng đô thị trên địa bàn tỉnh Tây Ninh.</w:t>
      </w:r>
    </w:p>
    <w:p w:rsidR="00363F56" w:rsidRPr="00363F56" w:rsidRDefault="00363F56" w:rsidP="00363F56">
      <w:pPr>
        <w:widowControl w:val="0"/>
        <w:spacing w:after="120"/>
        <w:ind w:firstLine="720"/>
        <w:jc w:val="both"/>
        <w:rPr>
          <w:sz w:val="24"/>
          <w:szCs w:val="24"/>
        </w:rPr>
      </w:pPr>
      <w:r w:rsidRPr="00363F56">
        <w:rPr>
          <w:b/>
          <w:bCs/>
          <w:color w:val="000000"/>
          <w:sz w:val="28"/>
          <w:szCs w:val="28"/>
        </w:rPr>
        <w:t>2. Bố cục của dự thảo văn bản</w:t>
      </w:r>
    </w:p>
    <w:p w:rsidR="00363F56" w:rsidRDefault="00363F56" w:rsidP="00363F56">
      <w:pPr>
        <w:spacing w:after="120"/>
        <w:ind w:firstLine="720"/>
        <w:jc w:val="both"/>
        <w:rPr>
          <w:sz w:val="24"/>
          <w:szCs w:val="24"/>
        </w:rPr>
      </w:pPr>
      <w:r w:rsidRPr="00363F56">
        <w:rPr>
          <w:color w:val="000000"/>
          <w:sz w:val="28"/>
          <w:szCs w:val="28"/>
        </w:rPr>
        <w:t xml:space="preserve">Nội dung dự thảo Quyết định gồm có 3 </w:t>
      </w:r>
      <w:r w:rsidR="00332442">
        <w:rPr>
          <w:color w:val="000000"/>
          <w:sz w:val="28"/>
          <w:szCs w:val="28"/>
        </w:rPr>
        <w:t>Đ</w:t>
      </w:r>
      <w:r w:rsidRPr="00363F56">
        <w:rPr>
          <w:color w:val="000000"/>
          <w:sz w:val="28"/>
          <w:szCs w:val="28"/>
        </w:rPr>
        <w:t>iều</w:t>
      </w:r>
      <w:r w:rsidRPr="00363F56">
        <w:rPr>
          <w:i/>
          <w:iCs/>
          <w:color w:val="000000"/>
          <w:sz w:val="28"/>
          <w:szCs w:val="28"/>
        </w:rPr>
        <w:t xml:space="preserve">: </w:t>
      </w:r>
    </w:p>
    <w:p w:rsidR="00363F56" w:rsidRPr="00363F56" w:rsidRDefault="00363F56" w:rsidP="00363F56">
      <w:pPr>
        <w:spacing w:after="120"/>
        <w:ind w:firstLine="709"/>
        <w:jc w:val="both"/>
        <w:rPr>
          <w:sz w:val="28"/>
          <w:szCs w:val="28"/>
          <w:lang w:eastAsia="vi-VN"/>
        </w:rPr>
      </w:pPr>
      <w:bookmarkStart w:id="4" w:name="dieu_1"/>
      <w:r w:rsidRPr="00363F56">
        <w:rPr>
          <w:b/>
          <w:bCs/>
          <w:sz w:val="28"/>
          <w:szCs w:val="28"/>
          <w:lang w:eastAsia="vi-VN"/>
        </w:rPr>
        <w:t xml:space="preserve">Điều 1. </w:t>
      </w:r>
      <w:bookmarkEnd w:id="4"/>
      <w:r w:rsidRPr="00363F56">
        <w:rPr>
          <w:sz w:val="28"/>
          <w:szCs w:val="28"/>
          <w:lang w:eastAsia="vi-VN"/>
        </w:rPr>
        <w:t>Ban hành kèm theo Quyết định Quy định phân cấp quản lý chiếu sáng đô thị trên địa bàn tỉnh Tây Ninh.</w:t>
      </w:r>
    </w:p>
    <w:p w:rsidR="00363F56" w:rsidRDefault="00363F56" w:rsidP="00363F56">
      <w:pPr>
        <w:spacing w:after="120"/>
        <w:ind w:firstLine="722"/>
        <w:jc w:val="both"/>
        <w:rPr>
          <w:sz w:val="24"/>
          <w:szCs w:val="24"/>
        </w:rPr>
      </w:pPr>
      <w:bookmarkStart w:id="5" w:name="dieu_2"/>
      <w:r w:rsidRPr="00363F56">
        <w:rPr>
          <w:b/>
          <w:bCs/>
          <w:color w:val="000000"/>
          <w:sz w:val="28"/>
          <w:szCs w:val="28"/>
        </w:rPr>
        <w:t>Điều 2. </w:t>
      </w:r>
      <w:r w:rsidRPr="00363F56">
        <w:rPr>
          <w:color w:val="000000"/>
          <w:sz w:val="28"/>
          <w:szCs w:val="28"/>
        </w:rPr>
        <w:t>Hiệu lực thi hành</w:t>
      </w:r>
      <w:bookmarkEnd w:id="5"/>
    </w:p>
    <w:p w:rsidR="00C17DEB" w:rsidRPr="00C17DEB" w:rsidRDefault="00C17DEB" w:rsidP="00C17DEB">
      <w:pPr>
        <w:tabs>
          <w:tab w:val="left" w:pos="851"/>
        </w:tabs>
        <w:spacing w:after="120"/>
        <w:ind w:firstLine="709"/>
        <w:jc w:val="both"/>
        <w:rPr>
          <w:sz w:val="28"/>
          <w:szCs w:val="28"/>
          <w:lang w:eastAsia="vi-VN"/>
        </w:rPr>
      </w:pPr>
      <w:r w:rsidRPr="00C17DEB">
        <w:rPr>
          <w:sz w:val="28"/>
          <w:szCs w:val="28"/>
          <w:lang w:eastAsia="vi-VN"/>
        </w:rPr>
        <w:t>Quyết định này có hiệu lực thi hành kể từ ngày ký.</w:t>
      </w:r>
    </w:p>
    <w:p w:rsidR="00C17DEB" w:rsidRPr="00C17DEB" w:rsidRDefault="00C17DEB" w:rsidP="00C17DEB">
      <w:pPr>
        <w:spacing w:after="120"/>
        <w:ind w:firstLine="709"/>
        <w:jc w:val="both"/>
        <w:rPr>
          <w:sz w:val="28"/>
          <w:szCs w:val="28"/>
          <w:lang w:eastAsia="vi-VN"/>
        </w:rPr>
      </w:pPr>
      <w:r w:rsidRPr="00C17DEB">
        <w:rPr>
          <w:bCs/>
          <w:snapToGrid w:val="0"/>
          <w:color w:val="000000"/>
          <w:spacing w:val="4"/>
          <w:sz w:val="28"/>
          <w:szCs w:val="28"/>
          <w:lang w:val="fi-FI"/>
        </w:rPr>
        <w:t xml:space="preserve">Quyết định số 08/2010/QĐ-UBND ngày 22/3/2010 của </w:t>
      </w:r>
      <w:r w:rsidRPr="00C17DEB">
        <w:rPr>
          <w:snapToGrid w:val="0"/>
          <w:sz w:val="28"/>
          <w:szCs w:val="28"/>
          <w:lang w:val="vi-VN"/>
        </w:rPr>
        <w:t xml:space="preserve">Ủy ban nhân dân </w:t>
      </w:r>
      <w:r w:rsidRPr="00C17DEB">
        <w:rPr>
          <w:bCs/>
          <w:snapToGrid w:val="0"/>
          <w:color w:val="000000"/>
          <w:spacing w:val="4"/>
          <w:sz w:val="28"/>
          <w:szCs w:val="28"/>
          <w:lang w:val="fi-FI"/>
        </w:rPr>
        <w:t>tỉnh Tây Ninh</w:t>
      </w:r>
      <w:r w:rsidRPr="00C17DEB">
        <w:rPr>
          <w:snapToGrid w:val="0"/>
          <w:sz w:val="28"/>
          <w:szCs w:val="28"/>
          <w:lang w:val="vi-VN"/>
        </w:rPr>
        <w:t xml:space="preserve"> </w:t>
      </w:r>
      <w:r w:rsidRPr="00C17DEB">
        <w:rPr>
          <w:iCs/>
          <w:snapToGrid w:val="0"/>
          <w:sz w:val="28"/>
          <w:szCs w:val="28"/>
          <w:lang w:val="vi-VN"/>
        </w:rPr>
        <w:t>về việc b</w:t>
      </w:r>
      <w:r w:rsidRPr="00C17DEB">
        <w:rPr>
          <w:bCs/>
          <w:snapToGrid w:val="0"/>
          <w:sz w:val="28"/>
          <w:szCs w:val="28"/>
          <w:lang w:val="vi-VN"/>
        </w:rPr>
        <w:t xml:space="preserve">an hành Quy định </w:t>
      </w:r>
      <w:r w:rsidRPr="00C17DEB">
        <w:rPr>
          <w:snapToGrid w:val="0"/>
          <w:sz w:val="28"/>
          <w:szCs w:val="28"/>
          <w:lang w:val="fi-FI"/>
        </w:rPr>
        <w:t>phân cấp quản lý chiếu sáng tại đô thị, khu công nghiệp, khu kinh tế trên địa bàn tỉnh Tây Ninh</w:t>
      </w:r>
      <w:r w:rsidRPr="00C17DEB">
        <w:rPr>
          <w:sz w:val="28"/>
          <w:szCs w:val="28"/>
          <w:lang w:val="vi-VN" w:eastAsia="vi-VN"/>
        </w:rPr>
        <w:t xml:space="preserve"> </w:t>
      </w:r>
      <w:r w:rsidRPr="00C17DEB">
        <w:rPr>
          <w:sz w:val="28"/>
          <w:szCs w:val="28"/>
          <w:lang w:eastAsia="vi-VN"/>
        </w:rPr>
        <w:t>hết hiệu lực kể từ ngày Quyết định này có hiệu lực thi hành.</w:t>
      </w:r>
    </w:p>
    <w:p w:rsidR="00363F56" w:rsidRPr="00363F56" w:rsidRDefault="00363F56" w:rsidP="00363F56">
      <w:pPr>
        <w:spacing w:after="120"/>
        <w:ind w:firstLine="720"/>
        <w:jc w:val="both"/>
        <w:rPr>
          <w:sz w:val="24"/>
          <w:szCs w:val="24"/>
        </w:rPr>
      </w:pPr>
      <w:r w:rsidRPr="00363F56">
        <w:rPr>
          <w:b/>
          <w:bCs/>
          <w:color w:val="000000"/>
          <w:sz w:val="28"/>
          <w:szCs w:val="28"/>
        </w:rPr>
        <w:t>Điều 3. </w:t>
      </w:r>
      <w:r w:rsidRPr="00363F56">
        <w:rPr>
          <w:color w:val="000000"/>
          <w:sz w:val="28"/>
          <w:szCs w:val="28"/>
        </w:rPr>
        <w:t>Tổ chức thực hiện</w:t>
      </w:r>
    </w:p>
    <w:p w:rsidR="00C145DB" w:rsidRDefault="009C2182" w:rsidP="00DD67DD">
      <w:pPr>
        <w:pStyle w:val="NormalWeb"/>
        <w:shd w:val="clear" w:color="auto" w:fill="FFFFFF"/>
        <w:tabs>
          <w:tab w:val="left" w:pos="851"/>
        </w:tabs>
        <w:spacing w:before="0" w:beforeAutospacing="0" w:after="80" w:afterAutospacing="0"/>
        <w:ind w:firstLine="720"/>
        <w:jc w:val="both"/>
        <w:rPr>
          <w:b/>
          <w:sz w:val="28"/>
          <w:szCs w:val="28"/>
          <w:lang w:val="vi-VN"/>
        </w:rPr>
      </w:pPr>
      <w:r>
        <w:rPr>
          <w:b/>
          <w:sz w:val="28"/>
          <w:szCs w:val="28"/>
          <w:lang w:val="nl-NL"/>
        </w:rPr>
        <w:t>3. Nội dung c</w:t>
      </w:r>
      <w:r>
        <w:rPr>
          <w:b/>
          <w:sz w:val="28"/>
          <w:szCs w:val="28"/>
          <w:lang w:val="vi-VN"/>
        </w:rPr>
        <w:t>ơ bản</w:t>
      </w:r>
    </w:p>
    <w:p w:rsidR="00607F07" w:rsidRDefault="00D70BC4" w:rsidP="00607F07">
      <w:pPr>
        <w:spacing w:after="80"/>
        <w:ind w:firstLine="720"/>
        <w:jc w:val="both"/>
        <w:rPr>
          <w:sz w:val="28"/>
          <w:szCs w:val="28"/>
          <w:lang w:val="vi-VN"/>
        </w:rPr>
      </w:pPr>
      <w:r w:rsidRPr="009030FE">
        <w:rPr>
          <w:sz w:val="28"/>
          <w:szCs w:val="28"/>
          <w:lang w:val="vi-VN"/>
        </w:rPr>
        <w:t xml:space="preserve">- </w:t>
      </w:r>
      <w:r w:rsidR="00607F07">
        <w:rPr>
          <w:sz w:val="28"/>
          <w:szCs w:val="28"/>
          <w:lang w:val="vi-VN"/>
        </w:rPr>
        <w:t xml:space="preserve">Theo quy định tại khoản 1 Điều 1 </w:t>
      </w:r>
      <w:r w:rsidR="00607F07" w:rsidRPr="00745FEB">
        <w:rPr>
          <w:sz w:val="28"/>
          <w:szCs w:val="28"/>
          <w:lang w:val="vi-VN"/>
        </w:rPr>
        <w:t xml:space="preserve">Nghị định số 79/2009/NĐ-CP ngày 28 tháng 9 năm 2009 của Chính phủ về quản lý chiếu sáng đô </w:t>
      </w:r>
      <w:r w:rsidR="00607F07">
        <w:rPr>
          <w:sz w:val="28"/>
          <w:szCs w:val="28"/>
          <w:lang w:val="vi-VN"/>
        </w:rPr>
        <w:t>thị.</w:t>
      </w:r>
    </w:p>
    <w:p w:rsidR="00C145DB" w:rsidRPr="00C17DEB" w:rsidRDefault="009C2182" w:rsidP="00607F07">
      <w:pPr>
        <w:spacing w:after="80"/>
        <w:ind w:firstLine="720"/>
        <w:jc w:val="both"/>
        <w:rPr>
          <w:i/>
          <w:sz w:val="28"/>
          <w:szCs w:val="28"/>
        </w:rPr>
      </w:pPr>
      <w:r w:rsidRPr="00C17DEB">
        <w:rPr>
          <w:iCs/>
          <w:sz w:val="28"/>
          <w:szCs w:val="28"/>
        </w:rPr>
        <w:t xml:space="preserve">- Dự thảo văn bản được xây dựng là văn bản quy phạm pháp luật với tên gọi là </w:t>
      </w:r>
      <w:bookmarkStart w:id="6" w:name="_Hlk208395236"/>
      <w:r w:rsidRPr="00C17DEB">
        <w:rPr>
          <w:i/>
          <w:sz w:val="28"/>
          <w:szCs w:val="28"/>
        </w:rPr>
        <w:t>“</w:t>
      </w:r>
      <w:r w:rsidRPr="00C17DEB">
        <w:rPr>
          <w:b/>
          <w:sz w:val="28"/>
          <w:szCs w:val="28"/>
        </w:rPr>
        <w:t xml:space="preserve">Quyết định </w:t>
      </w:r>
      <w:r w:rsidR="001469DC" w:rsidRPr="00C17DEB">
        <w:rPr>
          <w:b/>
          <w:sz w:val="28"/>
          <w:szCs w:val="28"/>
          <w:lang w:val="vi-VN"/>
        </w:rPr>
        <w:t>Q</w:t>
      </w:r>
      <w:r w:rsidR="00B651AD" w:rsidRPr="00C17DEB">
        <w:rPr>
          <w:b/>
          <w:sz w:val="28"/>
          <w:szCs w:val="28"/>
          <w:lang w:val="vi-VN"/>
        </w:rPr>
        <w:t>uy định phân cấp quản lý chiếu sáng đô thị trên địa bàn tỉnh Tây Ninh</w:t>
      </w:r>
      <w:r w:rsidRPr="00C17DEB">
        <w:rPr>
          <w:bCs/>
          <w:i/>
          <w:sz w:val="28"/>
          <w:szCs w:val="28"/>
        </w:rPr>
        <w:t>”</w:t>
      </w:r>
      <w:bookmarkEnd w:id="6"/>
      <w:r w:rsidR="00C17DEB" w:rsidRPr="00C17DEB">
        <w:rPr>
          <w:sz w:val="28"/>
          <w:szCs w:val="28"/>
        </w:rPr>
        <w:t xml:space="preserve"> theo khoản 2 Điều 25 Nghị định số 79/2009/NĐ-CP ngày 28 tháng 9 năm 2009 của Chính phủ về Quản lý chiếu sáng đô </w:t>
      </w:r>
      <w:r w:rsidR="00C17DEB">
        <w:rPr>
          <w:sz w:val="28"/>
          <w:szCs w:val="28"/>
        </w:rPr>
        <w:t>thị</w:t>
      </w:r>
      <w:r w:rsidR="00C17DEB">
        <w:rPr>
          <w:i/>
          <w:sz w:val="28"/>
          <w:szCs w:val="28"/>
        </w:rPr>
        <w:t>.</w:t>
      </w:r>
    </w:p>
    <w:p w:rsidR="00C145DB" w:rsidRDefault="009C2182" w:rsidP="00DD67DD">
      <w:pPr>
        <w:spacing w:after="80"/>
        <w:ind w:firstLine="720"/>
        <w:jc w:val="both"/>
        <w:rPr>
          <w:sz w:val="28"/>
          <w:szCs w:val="28"/>
        </w:rPr>
      </w:pPr>
      <w:r>
        <w:rPr>
          <w:iCs/>
          <w:sz w:val="28"/>
          <w:szCs w:val="28"/>
        </w:rPr>
        <w:t xml:space="preserve">- Dự thảo văn bản có phạm vi áp dụng đối với các cơ quan chuyên môn thuộc Ủy ban nhân dân tỉnh, Ủy ban nhân dân cấp xã và các tổ chức, cá nhân có liên quan </w:t>
      </w:r>
      <w:r w:rsidR="00B651AD" w:rsidRPr="00D444A4">
        <w:rPr>
          <w:sz w:val="28"/>
          <w:szCs w:val="28"/>
          <w:lang w:val="vi-VN"/>
        </w:rPr>
        <w:t xml:space="preserve">đến hoạt động chiếu sáng đô thị trên địa bàn tỉnh </w:t>
      </w:r>
      <w:r w:rsidR="00B651AD">
        <w:rPr>
          <w:sz w:val="28"/>
          <w:szCs w:val="28"/>
          <w:lang w:val="vi-VN"/>
        </w:rPr>
        <w:t>Tây Ninh.</w:t>
      </w:r>
      <w:r w:rsidR="00B651AD" w:rsidRPr="00D444A4">
        <w:rPr>
          <w:sz w:val="28"/>
          <w:szCs w:val="28"/>
          <w:lang w:val="vi-VN"/>
        </w:rPr>
        <w:t xml:space="preserve"> </w:t>
      </w:r>
    </w:p>
    <w:p w:rsidR="00C145DB" w:rsidRDefault="009C2182" w:rsidP="00DD67DD">
      <w:pPr>
        <w:widowControl w:val="0"/>
        <w:tabs>
          <w:tab w:val="right" w:leader="dot" w:pos="7920"/>
        </w:tabs>
        <w:spacing w:after="80"/>
        <w:ind w:firstLine="720"/>
        <w:jc w:val="both"/>
        <w:rPr>
          <w:rFonts w:eastAsia="Courier New"/>
          <w:bCs/>
          <w:sz w:val="28"/>
          <w:szCs w:val="28"/>
          <w:lang w:eastAsia="vi-VN"/>
        </w:rPr>
      </w:pPr>
      <w:r>
        <w:rPr>
          <w:rFonts w:eastAsia="Courier New"/>
          <w:b/>
          <w:sz w:val="28"/>
          <w:szCs w:val="28"/>
          <w:lang w:val="vi-VN" w:eastAsia="vi-VN"/>
        </w:rPr>
        <w:t>V. NHỮNG NỘI DUNG BỔ SUNG MỚI SO V</w:t>
      </w:r>
      <w:r>
        <w:rPr>
          <w:rFonts w:eastAsia="Courier New"/>
          <w:b/>
          <w:sz w:val="28"/>
          <w:szCs w:val="28"/>
          <w:lang w:eastAsia="vi-VN"/>
        </w:rPr>
        <w:t>ỚI</w:t>
      </w:r>
      <w:r>
        <w:rPr>
          <w:rFonts w:eastAsia="Courier New"/>
          <w:b/>
          <w:sz w:val="28"/>
          <w:szCs w:val="28"/>
          <w:lang w:val="vi-VN" w:eastAsia="vi-VN"/>
        </w:rPr>
        <w:t xml:space="preserve"> DỰ THẢO VĂN BẢN GỬI THẨM ĐỊNH (NẾU CÓ)*</w:t>
      </w:r>
      <w:r>
        <w:rPr>
          <w:rStyle w:val="FootnoteReference"/>
          <w:rFonts w:eastAsia="Courier New"/>
          <w:b/>
          <w:sz w:val="28"/>
          <w:szCs w:val="28"/>
          <w:lang w:val="vi-VN" w:eastAsia="vi-VN"/>
        </w:rPr>
        <w:footnoteReference w:id="1"/>
      </w:r>
      <w:r>
        <w:rPr>
          <w:rFonts w:eastAsia="Courier New"/>
          <w:bCs/>
          <w:sz w:val="28"/>
          <w:szCs w:val="28"/>
          <w:lang w:eastAsia="vi-VN"/>
        </w:rPr>
        <w:t>…</w:t>
      </w:r>
    </w:p>
    <w:p w:rsidR="00C145DB" w:rsidRPr="001469DC" w:rsidRDefault="009C2182" w:rsidP="00DD67DD">
      <w:pPr>
        <w:widowControl w:val="0"/>
        <w:tabs>
          <w:tab w:val="right" w:leader="dot" w:pos="7920"/>
        </w:tabs>
        <w:spacing w:after="80"/>
        <w:ind w:firstLine="720"/>
        <w:jc w:val="both"/>
        <w:rPr>
          <w:rFonts w:eastAsia="Courier New"/>
          <w:b/>
          <w:spacing w:val="-4"/>
          <w:sz w:val="28"/>
          <w:szCs w:val="28"/>
          <w:lang w:eastAsia="vi-VN"/>
        </w:rPr>
      </w:pPr>
      <w:r w:rsidRPr="001469DC">
        <w:rPr>
          <w:rFonts w:eastAsia="Courier New"/>
          <w:b/>
          <w:spacing w:val="-4"/>
          <w:sz w:val="28"/>
          <w:szCs w:val="28"/>
          <w:lang w:val="vi-VN" w:eastAsia="vi-VN"/>
        </w:rPr>
        <w:t>VI. DỰ KIẾN NGUỒN LỰC, ĐIỀU KIỆN BẢO ĐẢM CHO VIỆC THI HÀNH VĂN BẢN VÀ THỜI GIAN TRÌNH THÔNG QUA/BAN HÀNH</w:t>
      </w:r>
    </w:p>
    <w:p w:rsidR="00C145DB" w:rsidRDefault="009C2182" w:rsidP="00DD67DD">
      <w:pPr>
        <w:widowControl w:val="0"/>
        <w:tabs>
          <w:tab w:val="right" w:leader="dot" w:pos="7920"/>
        </w:tabs>
        <w:spacing w:after="80"/>
        <w:ind w:firstLine="720"/>
        <w:jc w:val="both"/>
        <w:rPr>
          <w:rFonts w:eastAsia="Courier New"/>
          <w:bCs/>
          <w:sz w:val="28"/>
          <w:szCs w:val="28"/>
          <w:lang w:eastAsia="vi-VN"/>
        </w:rPr>
      </w:pPr>
      <w:r>
        <w:rPr>
          <w:rFonts w:eastAsia="Courier New"/>
          <w:bCs/>
          <w:sz w:val="28"/>
          <w:szCs w:val="28"/>
          <w:lang w:eastAsia="vi-VN"/>
        </w:rPr>
        <w:lastRenderedPageBreak/>
        <w:t xml:space="preserve">- Dự kiến nguồn lực: Cán bộ, </w:t>
      </w:r>
      <w:r>
        <w:rPr>
          <w:sz w:val="28"/>
          <w:szCs w:val="28"/>
        </w:rPr>
        <w:t>công chức</w:t>
      </w:r>
      <w:r>
        <w:rPr>
          <w:rFonts w:eastAsia="Courier New"/>
          <w:bCs/>
          <w:sz w:val="28"/>
          <w:szCs w:val="28"/>
          <w:lang w:eastAsia="vi-VN"/>
        </w:rPr>
        <w:t xml:space="preserve"> thuộc Sở Xây dựng tham mưu soạn thảo văn bản.</w:t>
      </w:r>
    </w:p>
    <w:p w:rsidR="00C145DB" w:rsidRDefault="009C2182" w:rsidP="00DD67DD">
      <w:pPr>
        <w:widowControl w:val="0"/>
        <w:tabs>
          <w:tab w:val="right" w:leader="dot" w:pos="7920"/>
        </w:tabs>
        <w:spacing w:after="80"/>
        <w:ind w:firstLine="720"/>
        <w:jc w:val="both"/>
        <w:rPr>
          <w:rFonts w:eastAsia="Courier New"/>
          <w:bCs/>
          <w:sz w:val="28"/>
          <w:szCs w:val="28"/>
          <w:lang w:eastAsia="vi-VN"/>
        </w:rPr>
      </w:pPr>
      <w:r>
        <w:rPr>
          <w:rFonts w:eastAsia="Courier New"/>
          <w:bCs/>
          <w:sz w:val="28"/>
          <w:szCs w:val="28"/>
          <w:lang w:eastAsia="vi-VN"/>
        </w:rPr>
        <w:t xml:space="preserve">- Dự kiến thời gian trình </w:t>
      </w:r>
      <w:r w:rsidR="005A5F75" w:rsidRPr="005A5F75">
        <w:rPr>
          <w:sz w:val="28"/>
          <w:szCs w:val="28"/>
          <w:lang w:val="vi-VN" w:eastAsia="vi-VN"/>
        </w:rPr>
        <w:t>Ủy ban nhân dân</w:t>
      </w:r>
      <w:r>
        <w:rPr>
          <w:rFonts w:eastAsia="Courier New"/>
          <w:bCs/>
          <w:sz w:val="28"/>
          <w:szCs w:val="28"/>
          <w:lang w:eastAsia="vi-VN"/>
        </w:rPr>
        <w:t xml:space="preserve"> tỉnh ban hành: Trong tháng </w:t>
      </w:r>
      <w:r w:rsidR="00BB7B17">
        <w:rPr>
          <w:rFonts w:eastAsia="Courier New"/>
          <w:bCs/>
          <w:sz w:val="28"/>
          <w:szCs w:val="28"/>
          <w:lang w:eastAsia="vi-VN"/>
        </w:rPr>
        <w:t>04</w:t>
      </w:r>
      <w:r>
        <w:rPr>
          <w:rFonts w:eastAsia="Courier New"/>
          <w:bCs/>
          <w:sz w:val="28"/>
          <w:szCs w:val="28"/>
          <w:lang w:eastAsia="vi-VN"/>
        </w:rPr>
        <w:t>/</w:t>
      </w:r>
      <w:r w:rsidR="00BB7B17">
        <w:rPr>
          <w:rFonts w:eastAsia="Courier New"/>
          <w:bCs/>
          <w:sz w:val="28"/>
          <w:szCs w:val="28"/>
          <w:lang w:eastAsia="vi-VN"/>
        </w:rPr>
        <w:t>2026</w:t>
      </w:r>
      <w:r>
        <w:rPr>
          <w:rFonts w:eastAsia="Courier New"/>
          <w:bCs/>
          <w:sz w:val="28"/>
          <w:szCs w:val="28"/>
          <w:lang w:eastAsia="vi-VN"/>
        </w:rPr>
        <w:t>.</w:t>
      </w:r>
    </w:p>
    <w:p w:rsidR="00C145DB" w:rsidRDefault="009C2182" w:rsidP="00DD67DD">
      <w:pPr>
        <w:widowControl w:val="0"/>
        <w:tabs>
          <w:tab w:val="right" w:leader="dot" w:pos="7920"/>
        </w:tabs>
        <w:spacing w:after="80"/>
        <w:ind w:firstLine="720"/>
        <w:jc w:val="both"/>
        <w:rPr>
          <w:rFonts w:eastAsia="Courier New"/>
          <w:spacing w:val="-8"/>
          <w:sz w:val="28"/>
          <w:szCs w:val="28"/>
          <w:lang w:eastAsia="vi-VN"/>
        </w:rPr>
      </w:pPr>
      <w:r>
        <w:rPr>
          <w:rFonts w:eastAsia="Courier New"/>
          <w:spacing w:val="-8"/>
          <w:sz w:val="28"/>
          <w:szCs w:val="28"/>
          <w:lang w:val="vi-VN" w:eastAsia="vi-VN"/>
        </w:rPr>
        <w:t>Trên đây là Tờ trình về dự thảo</w:t>
      </w:r>
      <w:r>
        <w:rPr>
          <w:rFonts w:eastAsia="Courier New"/>
          <w:spacing w:val="-8"/>
          <w:sz w:val="28"/>
          <w:szCs w:val="28"/>
          <w:lang w:eastAsia="vi-VN"/>
        </w:rPr>
        <w:t xml:space="preserve"> </w:t>
      </w:r>
      <w:r w:rsidR="00D70BC4" w:rsidRPr="00D70BC4">
        <w:rPr>
          <w:sz w:val="28"/>
          <w:szCs w:val="28"/>
        </w:rPr>
        <w:t xml:space="preserve">Quyết định </w:t>
      </w:r>
      <w:r w:rsidR="001469DC">
        <w:rPr>
          <w:sz w:val="28"/>
          <w:lang w:val="vi-VN"/>
        </w:rPr>
        <w:t>Q</w:t>
      </w:r>
      <w:r w:rsidR="00D70BC4" w:rsidRPr="00D70BC4">
        <w:rPr>
          <w:sz w:val="28"/>
          <w:lang w:val="vi-VN"/>
        </w:rPr>
        <w:t>uy định phân cấp quản lý chiếu sáng đô thị trên địa bàn tỉnh Tây Ninh</w:t>
      </w:r>
      <w:r w:rsidR="0048441B">
        <w:rPr>
          <w:sz w:val="28"/>
          <w:lang w:val="vi-VN"/>
        </w:rPr>
        <w:t xml:space="preserve"> bãi bỏ </w:t>
      </w:r>
      <w:r w:rsidR="0048441B" w:rsidRPr="00F46459">
        <w:rPr>
          <w:bCs/>
          <w:color w:val="000000" w:themeColor="text1"/>
          <w:spacing w:val="4"/>
          <w:sz w:val="28"/>
          <w:szCs w:val="28"/>
        </w:rPr>
        <w:t xml:space="preserve">Quyết định số 08/2010/QĐ-UBND ngày 22/3/2010 của </w:t>
      </w:r>
      <w:r w:rsidR="0048441B" w:rsidRPr="0086448B">
        <w:rPr>
          <w:sz w:val="28"/>
          <w:szCs w:val="28"/>
          <w:lang w:val="nl-NL"/>
        </w:rPr>
        <w:t xml:space="preserve">Ủy ban nhân dân </w:t>
      </w:r>
      <w:r w:rsidR="0048441B" w:rsidRPr="00F46459">
        <w:rPr>
          <w:bCs/>
          <w:color w:val="000000" w:themeColor="text1"/>
          <w:spacing w:val="4"/>
          <w:sz w:val="28"/>
          <w:szCs w:val="28"/>
        </w:rPr>
        <w:t>tỉnh Tây Ninh</w:t>
      </w:r>
      <w:r w:rsidR="0048441B" w:rsidRPr="00F46459">
        <w:rPr>
          <w:sz w:val="28"/>
          <w:szCs w:val="28"/>
          <w:lang w:val="vi-VN"/>
        </w:rPr>
        <w:t xml:space="preserve"> </w:t>
      </w:r>
      <w:r w:rsidR="0048441B" w:rsidRPr="00F46459">
        <w:rPr>
          <w:iCs/>
          <w:sz w:val="28"/>
          <w:szCs w:val="28"/>
          <w:lang w:val="vi-VN"/>
        </w:rPr>
        <w:t>về việc b</w:t>
      </w:r>
      <w:r w:rsidR="0048441B" w:rsidRPr="00F46459">
        <w:rPr>
          <w:bCs/>
          <w:sz w:val="28"/>
          <w:szCs w:val="28"/>
          <w:lang w:val="vi-VN"/>
        </w:rPr>
        <w:t xml:space="preserve">an hành </w:t>
      </w:r>
      <w:r w:rsidR="0048441B">
        <w:rPr>
          <w:bCs/>
          <w:sz w:val="28"/>
          <w:szCs w:val="28"/>
          <w:lang w:val="vi-VN"/>
        </w:rPr>
        <w:t>q</w:t>
      </w:r>
      <w:r w:rsidR="0048441B" w:rsidRPr="00F46459">
        <w:rPr>
          <w:bCs/>
          <w:sz w:val="28"/>
          <w:szCs w:val="28"/>
          <w:lang w:val="vi-VN"/>
        </w:rPr>
        <w:t xml:space="preserve">uy định </w:t>
      </w:r>
      <w:r w:rsidR="0048441B" w:rsidRPr="00F46459">
        <w:rPr>
          <w:sz w:val="28"/>
          <w:szCs w:val="28"/>
        </w:rPr>
        <w:t>phân cấp quản lý chiếu sáng tại đô thị, khu công nghiệp, khu kinh tế trên địa bàn tỉnh Tây Ninh</w:t>
      </w:r>
      <w:r>
        <w:rPr>
          <w:bCs/>
          <w:sz w:val="28"/>
          <w:szCs w:val="28"/>
        </w:rPr>
        <w:t xml:space="preserve">, </w:t>
      </w:r>
      <w:r>
        <w:rPr>
          <w:rFonts w:eastAsia="Courier New"/>
          <w:spacing w:val="-8"/>
          <w:sz w:val="28"/>
          <w:szCs w:val="28"/>
          <w:lang w:eastAsia="vi-VN"/>
        </w:rPr>
        <w:t xml:space="preserve">Sở Xây dựng </w:t>
      </w:r>
      <w:r>
        <w:rPr>
          <w:rFonts w:eastAsia="Courier New"/>
          <w:spacing w:val="-8"/>
          <w:sz w:val="28"/>
          <w:szCs w:val="28"/>
          <w:lang w:val="vi-VN" w:eastAsia="vi-VN"/>
        </w:rPr>
        <w:t>xin kính trình</w:t>
      </w:r>
      <w:r>
        <w:rPr>
          <w:rFonts w:eastAsia="Courier New"/>
          <w:spacing w:val="-8"/>
          <w:sz w:val="28"/>
          <w:szCs w:val="28"/>
          <w:lang w:eastAsia="vi-VN"/>
        </w:rPr>
        <w:t xml:space="preserve"> </w:t>
      </w:r>
      <w:r w:rsidR="005A5F75" w:rsidRPr="005A5F75">
        <w:rPr>
          <w:sz w:val="28"/>
          <w:szCs w:val="28"/>
          <w:lang w:val="vi-VN" w:eastAsia="vi-VN"/>
        </w:rPr>
        <w:t>Ủy ban nhân dân</w:t>
      </w:r>
      <w:r>
        <w:rPr>
          <w:rFonts w:eastAsia="Courier New"/>
          <w:spacing w:val="-8"/>
          <w:sz w:val="28"/>
          <w:szCs w:val="28"/>
          <w:lang w:eastAsia="vi-VN"/>
        </w:rPr>
        <w:t xml:space="preserve"> tỉnh </w:t>
      </w:r>
      <w:r>
        <w:rPr>
          <w:rFonts w:eastAsia="Courier New"/>
          <w:spacing w:val="-8"/>
          <w:sz w:val="28"/>
          <w:szCs w:val="28"/>
          <w:lang w:val="vi-VN" w:eastAsia="vi-VN"/>
        </w:rPr>
        <w:t>xem xét, quyết định.</w:t>
      </w:r>
      <w:r>
        <w:rPr>
          <w:rFonts w:eastAsia="Courier New"/>
          <w:spacing w:val="-8"/>
          <w:sz w:val="28"/>
          <w:szCs w:val="28"/>
          <w:lang w:eastAsia="vi-VN"/>
        </w:rPr>
        <w:t>/.</w:t>
      </w:r>
    </w:p>
    <w:p w:rsidR="00C145DB" w:rsidRDefault="009C2182" w:rsidP="00DD67DD">
      <w:pPr>
        <w:spacing w:after="80"/>
        <w:ind w:firstLine="720"/>
        <w:jc w:val="both"/>
        <w:rPr>
          <w:iCs/>
          <w:sz w:val="28"/>
          <w:szCs w:val="28"/>
        </w:rPr>
      </w:pPr>
      <w:r>
        <w:rPr>
          <w:i/>
          <w:iCs/>
          <w:sz w:val="28"/>
          <w:szCs w:val="28"/>
          <w:lang w:val="vi-VN" w:eastAsia="vi-VN"/>
        </w:rPr>
        <w:t>(</w:t>
      </w:r>
      <w:r>
        <w:rPr>
          <w:i/>
          <w:iCs/>
          <w:sz w:val="28"/>
          <w:szCs w:val="28"/>
          <w:lang w:eastAsia="vi-VN"/>
        </w:rPr>
        <w:t>Gửi kèm theo</w:t>
      </w:r>
      <w:r>
        <w:rPr>
          <w:i/>
          <w:iCs/>
          <w:sz w:val="28"/>
          <w:szCs w:val="28"/>
          <w:lang w:val="vi-VN" w:eastAsia="vi-VN"/>
        </w:rPr>
        <w:t>: Dự thảo Quyết định; B</w:t>
      </w:r>
      <w:r>
        <w:rPr>
          <w:i/>
          <w:iCs/>
          <w:sz w:val="28"/>
          <w:szCs w:val="28"/>
          <w:lang w:eastAsia="vi-VN"/>
        </w:rPr>
        <w:t>áo cáo giải trình tiếp thu số …./BC-SXD ngày …/…/</w:t>
      </w:r>
      <w:r w:rsidR="00BB7B17">
        <w:rPr>
          <w:i/>
          <w:iCs/>
          <w:sz w:val="28"/>
          <w:szCs w:val="28"/>
          <w:lang w:eastAsia="vi-VN"/>
        </w:rPr>
        <w:t>2026</w:t>
      </w:r>
      <w:r>
        <w:rPr>
          <w:i/>
          <w:iCs/>
          <w:sz w:val="28"/>
          <w:szCs w:val="28"/>
          <w:lang w:eastAsia="vi-VN"/>
        </w:rPr>
        <w:t xml:space="preserve"> của Sở Xây dựng, Báo cáo</w:t>
      </w:r>
      <w:r>
        <w:rPr>
          <w:i/>
          <w:iCs/>
          <w:sz w:val="28"/>
          <w:szCs w:val="28"/>
          <w:lang w:val="vi-VN" w:eastAsia="vi-VN"/>
        </w:rPr>
        <w:t xml:space="preserve"> tổng hợp giải trình</w:t>
      </w:r>
      <w:r>
        <w:rPr>
          <w:i/>
          <w:iCs/>
          <w:sz w:val="28"/>
          <w:szCs w:val="28"/>
          <w:lang w:eastAsia="vi-VN"/>
        </w:rPr>
        <w:t>,</w:t>
      </w:r>
      <w:r>
        <w:rPr>
          <w:i/>
          <w:iCs/>
          <w:sz w:val="28"/>
          <w:szCs w:val="28"/>
          <w:lang w:val="vi-VN" w:eastAsia="vi-VN"/>
        </w:rPr>
        <w:t xml:space="preserve"> </w:t>
      </w:r>
      <w:r>
        <w:rPr>
          <w:i/>
          <w:iCs/>
          <w:sz w:val="28"/>
          <w:szCs w:val="28"/>
          <w:lang w:eastAsia="vi-VN"/>
        </w:rPr>
        <w:t xml:space="preserve">tiếp thu </w:t>
      </w:r>
      <w:r>
        <w:rPr>
          <w:i/>
          <w:iCs/>
          <w:sz w:val="28"/>
          <w:szCs w:val="28"/>
          <w:lang w:val="vi-VN" w:eastAsia="vi-VN"/>
        </w:rPr>
        <w:t>ý kiến thẩm định của Sở Tư phá</w:t>
      </w:r>
      <w:r>
        <w:rPr>
          <w:i/>
          <w:iCs/>
          <w:sz w:val="28"/>
          <w:szCs w:val="28"/>
          <w:lang w:eastAsia="vi-VN"/>
        </w:rPr>
        <w:t>p…</w:t>
      </w:r>
      <w:r>
        <w:rPr>
          <w:i/>
          <w:iCs/>
          <w:sz w:val="28"/>
          <w:szCs w:val="28"/>
          <w:lang w:val="vi-VN" w:eastAsia="vi-VN"/>
        </w:rPr>
        <w:t>)</w:t>
      </w:r>
      <w:r>
        <w:rPr>
          <w:rStyle w:val="FootnoteReference"/>
          <w:i/>
          <w:iCs/>
          <w:sz w:val="28"/>
          <w:szCs w:val="28"/>
          <w:lang w:val="vi-VN" w:eastAsia="vi-VN"/>
        </w:rPr>
        <w:footnoteReference w:id="2"/>
      </w:r>
      <w:r>
        <w:rPr>
          <w:i/>
          <w:iCs/>
          <w:sz w:val="28"/>
          <w:szCs w:val="28"/>
          <w:lang w:eastAsia="vi-VN"/>
        </w:rPr>
        <w:t>.</w:t>
      </w:r>
      <w:r>
        <w:rPr>
          <w:iCs/>
          <w:sz w:val="28"/>
          <w:szCs w:val="28"/>
        </w:rPr>
        <w:t xml:space="preserve">      </w:t>
      </w:r>
    </w:p>
    <w:tbl>
      <w:tblPr>
        <w:tblW w:w="9180" w:type="dxa"/>
        <w:tblLook w:val="0000" w:firstRow="0" w:lastRow="0" w:firstColumn="0" w:lastColumn="0" w:noHBand="0" w:noVBand="0"/>
      </w:tblPr>
      <w:tblGrid>
        <w:gridCol w:w="4083"/>
        <w:gridCol w:w="5097"/>
      </w:tblGrid>
      <w:tr w:rsidR="00C145DB">
        <w:tc>
          <w:tcPr>
            <w:tcW w:w="4083" w:type="dxa"/>
          </w:tcPr>
          <w:p w:rsidR="00C145DB" w:rsidRPr="00DD67DD" w:rsidRDefault="009C2182">
            <w:pPr>
              <w:tabs>
                <w:tab w:val="left" w:pos="3261"/>
              </w:tabs>
              <w:rPr>
                <w:b/>
                <w:i/>
                <w:sz w:val="24"/>
                <w:szCs w:val="24"/>
                <w:lang w:val="vi-VN"/>
              </w:rPr>
            </w:pPr>
            <w:r>
              <w:rPr>
                <w:iCs/>
                <w:sz w:val="28"/>
                <w:szCs w:val="28"/>
              </w:rPr>
              <w:t xml:space="preserve">                                                 </w:t>
            </w:r>
          </w:p>
          <w:p w:rsidR="00C145DB" w:rsidRDefault="009C2182">
            <w:pPr>
              <w:tabs>
                <w:tab w:val="left" w:pos="3261"/>
              </w:tabs>
              <w:ind w:left="-105"/>
              <w:rPr>
                <w:i/>
                <w:sz w:val="24"/>
                <w:szCs w:val="24"/>
                <w:lang w:val="nl-NL"/>
              </w:rPr>
            </w:pPr>
            <w:r>
              <w:rPr>
                <w:b/>
                <w:i/>
                <w:sz w:val="24"/>
                <w:szCs w:val="24"/>
                <w:lang w:val="nl-NL"/>
              </w:rPr>
              <w:t>Nơi nhận</w:t>
            </w:r>
            <w:r>
              <w:rPr>
                <w:i/>
                <w:sz w:val="24"/>
                <w:szCs w:val="24"/>
                <w:lang w:val="nl-NL"/>
              </w:rPr>
              <w:t>:</w:t>
            </w:r>
          </w:p>
          <w:p w:rsidR="00C145DB" w:rsidRDefault="009C2182">
            <w:pPr>
              <w:tabs>
                <w:tab w:val="left" w:pos="3261"/>
              </w:tabs>
              <w:ind w:left="-105"/>
              <w:rPr>
                <w:sz w:val="22"/>
                <w:szCs w:val="22"/>
                <w:lang w:val="nl-NL"/>
              </w:rPr>
            </w:pPr>
            <w:r>
              <w:rPr>
                <w:b/>
                <w:sz w:val="22"/>
                <w:szCs w:val="22"/>
                <w:lang w:val="nl-NL"/>
              </w:rPr>
              <w:t xml:space="preserve">- </w:t>
            </w:r>
            <w:r>
              <w:rPr>
                <w:sz w:val="22"/>
                <w:szCs w:val="22"/>
                <w:lang w:val="nl-NL"/>
              </w:rPr>
              <w:t>UBND tỉnh (trình phê duyệt);</w:t>
            </w:r>
          </w:p>
          <w:p w:rsidR="00C145DB" w:rsidRDefault="009C2182">
            <w:pPr>
              <w:tabs>
                <w:tab w:val="left" w:pos="3261"/>
              </w:tabs>
              <w:ind w:left="-105"/>
              <w:rPr>
                <w:sz w:val="22"/>
                <w:szCs w:val="22"/>
                <w:lang w:val="nl-NL"/>
              </w:rPr>
            </w:pPr>
            <w:r>
              <w:rPr>
                <w:sz w:val="22"/>
                <w:szCs w:val="22"/>
                <w:lang w:val="nl-NL"/>
              </w:rPr>
              <w:t>- Sở Tư pháp (nắm biết);</w:t>
            </w:r>
          </w:p>
          <w:p w:rsidR="00C145DB" w:rsidRPr="007417CC" w:rsidRDefault="009C2182">
            <w:pPr>
              <w:tabs>
                <w:tab w:val="left" w:pos="3261"/>
              </w:tabs>
              <w:ind w:left="-105"/>
              <w:rPr>
                <w:sz w:val="22"/>
                <w:szCs w:val="22"/>
                <w:lang w:val="vi-VN"/>
              </w:rPr>
            </w:pPr>
            <w:r>
              <w:rPr>
                <w:sz w:val="22"/>
                <w:szCs w:val="22"/>
                <w:lang w:val="nl-NL"/>
              </w:rPr>
              <w:t>- Ban Giám đốc Sở;</w:t>
            </w:r>
          </w:p>
          <w:p w:rsidR="00C145DB" w:rsidRPr="00BB7B17" w:rsidRDefault="00BB7B17" w:rsidP="00BB7B17">
            <w:pPr>
              <w:tabs>
                <w:tab w:val="left" w:pos="3261"/>
              </w:tabs>
              <w:ind w:left="-105"/>
              <w:rPr>
                <w:sz w:val="28"/>
                <w:szCs w:val="28"/>
                <w:lang w:val="vi-VN"/>
              </w:rPr>
            </w:pPr>
            <w:r>
              <w:rPr>
                <w:sz w:val="22"/>
                <w:szCs w:val="22"/>
                <w:lang w:val="nl-NL"/>
              </w:rPr>
              <w:t>- Lưu: VT, P. VLXDMT</w:t>
            </w:r>
            <w:r>
              <w:rPr>
                <w:sz w:val="22"/>
                <w:szCs w:val="22"/>
                <w:lang w:val="vi-VN"/>
              </w:rPr>
              <w:t>.</w:t>
            </w:r>
          </w:p>
        </w:tc>
        <w:tc>
          <w:tcPr>
            <w:tcW w:w="5097" w:type="dxa"/>
          </w:tcPr>
          <w:p w:rsidR="00C145DB" w:rsidRDefault="009C2182">
            <w:pPr>
              <w:pStyle w:val="Heading6"/>
              <w:spacing w:before="240"/>
              <w:rPr>
                <w:rFonts w:ascii="Times New Roman" w:hAnsi="Times New Roman"/>
                <w:b/>
                <w:i w:val="0"/>
                <w:szCs w:val="28"/>
                <w:lang w:val="nl-NL"/>
              </w:rPr>
            </w:pPr>
            <w:r>
              <w:rPr>
                <w:rFonts w:ascii="Times New Roman" w:hAnsi="Times New Roman"/>
                <w:b/>
                <w:i w:val="0"/>
                <w:szCs w:val="28"/>
                <w:lang w:val="nl-NL"/>
              </w:rPr>
              <w:t xml:space="preserve">        GIÁM ĐỐC</w:t>
            </w:r>
          </w:p>
          <w:p w:rsidR="00C145DB" w:rsidRDefault="009C2182">
            <w:pPr>
              <w:pStyle w:val="Heading6"/>
              <w:rPr>
                <w:rFonts w:ascii="Times New Roman" w:hAnsi="Times New Roman"/>
                <w:szCs w:val="28"/>
                <w:lang w:val="nl-NL"/>
              </w:rPr>
            </w:pPr>
            <w:r>
              <w:rPr>
                <w:rFonts w:ascii="Times New Roman" w:hAnsi="Times New Roman"/>
                <w:szCs w:val="28"/>
                <w:lang w:val="nl-NL"/>
              </w:rPr>
              <w:t xml:space="preserve">               </w:t>
            </w:r>
          </w:p>
          <w:p w:rsidR="00C145DB" w:rsidRDefault="00C145DB">
            <w:pPr>
              <w:rPr>
                <w:lang w:val="nl-NL"/>
              </w:rPr>
            </w:pPr>
          </w:p>
          <w:p w:rsidR="00C145DB" w:rsidRDefault="00C145DB">
            <w:pPr>
              <w:rPr>
                <w:lang w:val="nl-NL"/>
              </w:rPr>
            </w:pPr>
          </w:p>
          <w:p w:rsidR="00C145DB" w:rsidRDefault="00C145DB">
            <w:pPr>
              <w:rPr>
                <w:lang w:val="nl-NL"/>
              </w:rPr>
            </w:pPr>
          </w:p>
          <w:p w:rsidR="00C145DB" w:rsidRDefault="00C145DB">
            <w:pPr>
              <w:rPr>
                <w:lang w:val="nl-NL"/>
              </w:rPr>
            </w:pPr>
          </w:p>
          <w:p w:rsidR="00C145DB" w:rsidRPr="00182F1E" w:rsidRDefault="00182F1E">
            <w:pPr>
              <w:tabs>
                <w:tab w:val="left" w:pos="1838"/>
              </w:tabs>
              <w:jc w:val="center"/>
              <w:rPr>
                <w:b/>
                <w:sz w:val="28"/>
                <w:szCs w:val="28"/>
                <w:lang w:val="vi-VN"/>
              </w:rPr>
            </w:pPr>
            <w:r>
              <w:rPr>
                <w:b/>
                <w:sz w:val="28"/>
                <w:szCs w:val="28"/>
                <w:lang w:val="vi-VN"/>
              </w:rPr>
              <w:t xml:space="preserve">      </w:t>
            </w:r>
            <w:r w:rsidR="009016AF">
              <w:rPr>
                <w:b/>
                <w:sz w:val="28"/>
                <w:szCs w:val="28"/>
                <w:lang w:val="vi-VN"/>
              </w:rPr>
              <w:t xml:space="preserve"> </w:t>
            </w:r>
            <w:r>
              <w:rPr>
                <w:b/>
                <w:sz w:val="28"/>
                <w:szCs w:val="28"/>
                <w:lang w:val="vi-VN"/>
              </w:rPr>
              <w:t>Nguyễn Nam Hưng</w:t>
            </w:r>
          </w:p>
        </w:tc>
      </w:tr>
    </w:tbl>
    <w:p w:rsidR="00C145DB" w:rsidRDefault="00C145DB"/>
    <w:sectPr w:rsidR="00C145DB" w:rsidSect="0071040D">
      <w:headerReference w:type="default" r:id="rId8"/>
      <w:pgSz w:w="11907" w:h="16840"/>
      <w:pgMar w:top="993" w:right="850" w:bottom="907" w:left="1701"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CA" w:rsidRDefault="00D14ACA">
      <w:r>
        <w:separator/>
      </w:r>
    </w:p>
  </w:endnote>
  <w:endnote w:type="continuationSeparator" w:id="0">
    <w:p w:rsidR="00D14ACA" w:rsidRDefault="00D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CA" w:rsidRDefault="00D14ACA">
      <w:r>
        <w:separator/>
      </w:r>
    </w:p>
  </w:footnote>
  <w:footnote w:type="continuationSeparator" w:id="0">
    <w:p w:rsidR="00D14ACA" w:rsidRDefault="00D14ACA">
      <w:r>
        <w:continuationSeparator/>
      </w:r>
    </w:p>
  </w:footnote>
  <w:footnote w:id="1">
    <w:p w:rsidR="00C145DB" w:rsidRDefault="009C2182">
      <w:pPr>
        <w:pStyle w:val="FootnoteText"/>
      </w:pPr>
      <w:r>
        <w:rPr>
          <w:rStyle w:val="FootnoteReference"/>
        </w:rPr>
        <w:footnoteRef/>
      </w:r>
      <w:r>
        <w:t xml:space="preserve"> Khi có ý kiến thẩm định của Sở Tư pháp, Sở Xây dựng tiếp thu, bổ sung vào dự thảo Tờ trình</w:t>
      </w:r>
    </w:p>
  </w:footnote>
  <w:footnote w:id="2">
    <w:p w:rsidR="00C145DB" w:rsidRDefault="009C2182">
      <w:pPr>
        <w:pStyle w:val="FootnoteText"/>
      </w:pPr>
      <w:r>
        <w:rPr>
          <w:rStyle w:val="FootnoteReference"/>
        </w:rPr>
        <w:footnoteRef/>
      </w:r>
      <w:r>
        <w:t xml:space="preserve"> Sau khi có ý kiến cụ thể bằng văn bản của các Sở ngành, cơ quan liên quan, Sở Xây dựng sẽ </w:t>
      </w:r>
      <w:r w:rsidR="007417CC">
        <w:t>cập nhật đầy đủ thông tin.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365189"/>
      <w:docPartObj>
        <w:docPartGallery w:val="Page Numbers (Top of Page)"/>
        <w:docPartUnique/>
      </w:docPartObj>
    </w:sdtPr>
    <w:sdtEndPr>
      <w:rPr>
        <w:sz w:val="26"/>
        <w:szCs w:val="26"/>
      </w:rPr>
    </w:sdtEndPr>
    <w:sdtContent>
      <w:p w:rsidR="00C145DB" w:rsidRPr="000C7BCC" w:rsidRDefault="009C2182">
        <w:pPr>
          <w:pStyle w:val="Header"/>
          <w:jc w:val="center"/>
          <w:rPr>
            <w:sz w:val="26"/>
            <w:szCs w:val="26"/>
          </w:rPr>
        </w:pPr>
        <w:r w:rsidRPr="000C7BCC">
          <w:rPr>
            <w:sz w:val="26"/>
            <w:szCs w:val="26"/>
          </w:rPr>
          <w:fldChar w:fldCharType="begin"/>
        </w:r>
        <w:r w:rsidRPr="000C7BCC">
          <w:rPr>
            <w:sz w:val="26"/>
            <w:szCs w:val="26"/>
          </w:rPr>
          <w:instrText xml:space="preserve"> PAGE   \* MERGEFORMAT </w:instrText>
        </w:r>
        <w:r w:rsidRPr="000C7BCC">
          <w:rPr>
            <w:sz w:val="26"/>
            <w:szCs w:val="26"/>
          </w:rPr>
          <w:fldChar w:fldCharType="separate"/>
        </w:r>
        <w:r w:rsidR="00EE785B">
          <w:rPr>
            <w:noProof/>
            <w:sz w:val="26"/>
            <w:szCs w:val="26"/>
          </w:rPr>
          <w:t>2</w:t>
        </w:r>
        <w:r w:rsidRPr="000C7BCC">
          <w:rPr>
            <w:sz w:val="26"/>
            <w:szCs w:val="26"/>
          </w:rPr>
          <w:fldChar w:fldCharType="end"/>
        </w:r>
      </w:p>
    </w:sdtContent>
  </w:sdt>
  <w:p w:rsidR="00C145DB" w:rsidRDefault="00C14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DB"/>
    <w:rsid w:val="000410FF"/>
    <w:rsid w:val="000C7BCC"/>
    <w:rsid w:val="000C7D58"/>
    <w:rsid w:val="000E4E4A"/>
    <w:rsid w:val="001469DC"/>
    <w:rsid w:val="00182F1E"/>
    <w:rsid w:val="001B7B0D"/>
    <w:rsid w:val="001E59C6"/>
    <w:rsid w:val="00206CDA"/>
    <w:rsid w:val="00236FF7"/>
    <w:rsid w:val="0030408E"/>
    <w:rsid w:val="00332442"/>
    <w:rsid w:val="00351A58"/>
    <w:rsid w:val="00363F56"/>
    <w:rsid w:val="003E7180"/>
    <w:rsid w:val="00477EF1"/>
    <w:rsid w:val="0048441B"/>
    <w:rsid w:val="00487844"/>
    <w:rsid w:val="00515661"/>
    <w:rsid w:val="005A5F75"/>
    <w:rsid w:val="005E2CFF"/>
    <w:rsid w:val="00607F07"/>
    <w:rsid w:val="00665EA5"/>
    <w:rsid w:val="006A3B76"/>
    <w:rsid w:val="006B331E"/>
    <w:rsid w:val="0071040D"/>
    <w:rsid w:val="00741578"/>
    <w:rsid w:val="007417CC"/>
    <w:rsid w:val="0086448B"/>
    <w:rsid w:val="008D3C2E"/>
    <w:rsid w:val="009016AF"/>
    <w:rsid w:val="009030FE"/>
    <w:rsid w:val="00957B50"/>
    <w:rsid w:val="00975EB0"/>
    <w:rsid w:val="009B5539"/>
    <w:rsid w:val="009C2182"/>
    <w:rsid w:val="00A06E1A"/>
    <w:rsid w:val="00A45097"/>
    <w:rsid w:val="00B651AD"/>
    <w:rsid w:val="00BB7B17"/>
    <w:rsid w:val="00C145DB"/>
    <w:rsid w:val="00C17DEB"/>
    <w:rsid w:val="00C26A38"/>
    <w:rsid w:val="00D14ACA"/>
    <w:rsid w:val="00D70BC4"/>
    <w:rsid w:val="00DD67DD"/>
    <w:rsid w:val="00EE785B"/>
    <w:rsid w:val="00FA6013"/>
    <w:rsid w:val="00FE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666">
      <w:bodyDiv w:val="1"/>
      <w:marLeft w:val="0"/>
      <w:marRight w:val="0"/>
      <w:marTop w:val="0"/>
      <w:marBottom w:val="0"/>
      <w:divBdr>
        <w:top w:val="none" w:sz="0" w:space="0" w:color="auto"/>
        <w:left w:val="none" w:sz="0" w:space="0" w:color="auto"/>
        <w:bottom w:val="none" w:sz="0" w:space="0" w:color="auto"/>
        <w:right w:val="none" w:sz="0" w:space="0" w:color="auto"/>
      </w:divBdr>
    </w:div>
    <w:div w:id="391586631">
      <w:bodyDiv w:val="1"/>
      <w:marLeft w:val="0"/>
      <w:marRight w:val="0"/>
      <w:marTop w:val="0"/>
      <w:marBottom w:val="0"/>
      <w:divBdr>
        <w:top w:val="none" w:sz="0" w:space="0" w:color="auto"/>
        <w:left w:val="none" w:sz="0" w:space="0" w:color="auto"/>
        <w:bottom w:val="none" w:sz="0" w:space="0" w:color="auto"/>
        <w:right w:val="none" w:sz="0" w:space="0" w:color="auto"/>
      </w:divBdr>
    </w:div>
    <w:div w:id="624164967">
      <w:bodyDiv w:val="1"/>
      <w:marLeft w:val="0"/>
      <w:marRight w:val="0"/>
      <w:marTop w:val="0"/>
      <w:marBottom w:val="0"/>
      <w:divBdr>
        <w:top w:val="none" w:sz="0" w:space="0" w:color="auto"/>
        <w:left w:val="none" w:sz="0" w:space="0" w:color="auto"/>
        <w:bottom w:val="none" w:sz="0" w:space="0" w:color="auto"/>
        <w:right w:val="none" w:sz="0" w:space="0" w:color="auto"/>
      </w:divBdr>
    </w:div>
    <w:div w:id="1406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9601-BC2B-4C60-B7C8-A2498C93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TTCNTT</dc:creator>
  <cp:lastModifiedBy>admin</cp:lastModifiedBy>
  <cp:revision>25</cp:revision>
  <dcterms:created xsi:type="dcterms:W3CDTF">2026-02-10T04:19:00Z</dcterms:created>
  <dcterms:modified xsi:type="dcterms:W3CDTF">2026-02-10T10:01:00Z</dcterms:modified>
</cp:coreProperties>
</file>